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9EDA" w14:textId="77777777" w:rsidR="00242031" w:rsidRPr="00660140" w:rsidRDefault="00242031" w:rsidP="00242031">
      <w:pPr>
        <w:spacing w:after="0" w:line="240" w:lineRule="auto"/>
      </w:pPr>
    </w:p>
    <w:p w14:paraId="51D39EDB" w14:textId="77777777" w:rsidR="00242031" w:rsidRPr="00253DFF" w:rsidRDefault="00242031" w:rsidP="00242031">
      <w:pPr>
        <w:spacing w:after="0" w:line="240" w:lineRule="auto"/>
      </w:pPr>
    </w:p>
    <w:p w14:paraId="51D39EDC" w14:textId="77777777" w:rsidR="00242031" w:rsidRPr="00253DFF" w:rsidRDefault="00242031" w:rsidP="00242031">
      <w:pPr>
        <w:spacing w:after="0" w:line="240" w:lineRule="auto"/>
      </w:pPr>
    </w:p>
    <w:tbl>
      <w:tblPr>
        <w:tblpPr w:leftFromText="180" w:rightFromText="180" w:vertAnchor="text" w:tblpX="108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30"/>
      </w:tblGrid>
      <w:tr w:rsidR="00246B84" w:rsidRPr="00253DFF" w14:paraId="51D39EDF" w14:textId="77777777" w:rsidTr="00246B84">
        <w:trPr>
          <w:trHeight w:val="194"/>
        </w:trPr>
        <w:tc>
          <w:tcPr>
            <w:tcW w:w="18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51D39EDD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Título de la Política:</w:t>
            </w:r>
          </w:p>
        </w:tc>
        <w:tc>
          <w:tcPr>
            <w:tcW w:w="723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EDE" w14:textId="77777777" w:rsidR="00246B84" w:rsidRPr="00253DFF" w:rsidRDefault="00246B84" w:rsidP="00E82681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 w:cs="Arial"/>
                <w:szCs w:val="24"/>
                <w:lang w:eastAsia="en-GB"/>
              </w:rPr>
              <w:t>Disciplinar</w:t>
            </w:r>
            <w:r w:rsidR="00E82681" w:rsidRPr="00253DFF">
              <w:rPr>
                <w:rFonts w:ascii="Gill Sans MT" w:eastAsia="Times New Roman" w:hAnsi="Gill Sans MT" w:cs="Arial"/>
                <w:szCs w:val="24"/>
                <w:lang w:eastAsia="en-GB"/>
              </w:rPr>
              <w:t>ia</w:t>
            </w:r>
          </w:p>
        </w:tc>
      </w:tr>
      <w:tr w:rsidR="00246B84" w:rsidRPr="00253DFF" w14:paraId="51D39EE2" w14:textId="77777777" w:rsidTr="00246B84"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51D39EE0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Versión: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9EE1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1.0</w:t>
            </w:r>
          </w:p>
        </w:tc>
      </w:tr>
      <w:tr w:rsidR="00246B84" w:rsidRPr="00253DFF" w14:paraId="51D39EE5" w14:textId="77777777" w:rsidTr="00246B84"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51D39EE3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Fecha de Aprobación: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9EE4" w14:textId="77777777" w:rsidR="00246B84" w:rsidRPr="00253DFF" w:rsidRDefault="00246B84" w:rsidP="00660140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 xml:space="preserve">30 </w:t>
            </w:r>
            <w:r w:rsidR="00660140" w:rsidRPr="00253DFF">
              <w:rPr>
                <w:rFonts w:ascii="Gill Sans MT" w:eastAsia="Times New Roman" w:hAnsi="Gill Sans MT"/>
                <w:szCs w:val="24"/>
                <w:lang w:eastAsia="en-GB"/>
              </w:rPr>
              <w:t xml:space="preserve">de enero de </w:t>
            </w: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2014</w:t>
            </w:r>
          </w:p>
        </w:tc>
      </w:tr>
      <w:tr w:rsidR="00246B84" w:rsidRPr="00253DFF" w14:paraId="51D39EE8" w14:textId="77777777" w:rsidTr="00246B84">
        <w:trPr>
          <w:trHeight w:val="70"/>
        </w:trPr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51D39EE6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Aprobada por: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EE7" w14:textId="77777777" w:rsidR="00246B84" w:rsidRPr="00253DFF" w:rsidRDefault="00246B84" w:rsidP="00660140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 w:cs="Arial"/>
                <w:szCs w:val="24"/>
                <w:lang w:eastAsia="en-GB"/>
              </w:rPr>
              <w:t xml:space="preserve">Madalyn Brooks, </w:t>
            </w:r>
            <w:r w:rsidR="00660140" w:rsidRPr="00253DFF">
              <w:rPr>
                <w:rFonts w:ascii="Gill Sans MT" w:eastAsia="Times New Roman" w:hAnsi="Gill Sans MT" w:cs="Arial"/>
                <w:szCs w:val="24"/>
                <w:lang w:eastAsia="en-GB"/>
              </w:rPr>
              <w:t xml:space="preserve">Director de Gente </w:t>
            </w:r>
          </w:p>
        </w:tc>
      </w:tr>
      <w:tr w:rsidR="00246B84" w:rsidRPr="00253DFF" w14:paraId="51D39EEB" w14:textId="77777777" w:rsidTr="00246B84">
        <w:trPr>
          <w:trHeight w:val="70"/>
        </w:trPr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51D39EE9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>Autor: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EEA" w14:textId="77777777" w:rsidR="00246B84" w:rsidRPr="00253DFF" w:rsidRDefault="00246B84" w:rsidP="00253DFF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 w:cs="Arial"/>
                <w:szCs w:val="24"/>
                <w:lang w:eastAsia="en-GB"/>
              </w:rPr>
              <w:t>Joan Coyle, Director</w:t>
            </w:r>
            <w:r w:rsidR="00253DFF">
              <w:rPr>
                <w:rFonts w:ascii="Gill Sans MT" w:eastAsia="Times New Roman" w:hAnsi="Gill Sans MT" w:cs="Arial"/>
                <w:szCs w:val="24"/>
                <w:lang w:eastAsia="en-GB"/>
              </w:rPr>
              <w:t xml:space="preserve"> de RRHH</w:t>
            </w:r>
          </w:p>
        </w:tc>
      </w:tr>
      <w:tr w:rsidR="00246B84" w:rsidRPr="00253DFF" w14:paraId="51D39EEE" w14:textId="77777777" w:rsidTr="00246B84">
        <w:trPr>
          <w:trHeight w:val="70"/>
        </w:trPr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51D39EEC" w14:textId="77777777" w:rsidR="00246B84" w:rsidRPr="00253DFF" w:rsidRDefault="00246B84" w:rsidP="00246B84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253DFF">
              <w:rPr>
                <w:rFonts w:ascii="Gill Sans MT" w:eastAsia="Times New Roman" w:hAnsi="Gill Sans MT"/>
                <w:szCs w:val="24"/>
                <w:lang w:eastAsia="en-GB"/>
              </w:rPr>
              <w:t xml:space="preserve">Fecha de Revisión: 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EED" w14:textId="3CF76E61" w:rsidR="00246B84" w:rsidRPr="00253DFF" w:rsidRDefault="005232DC" w:rsidP="00253DFF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>
              <w:rPr>
                <w:rFonts w:ascii="Gill Sans MT" w:eastAsia="Times New Roman" w:hAnsi="Gill Sans MT"/>
                <w:szCs w:val="24"/>
                <w:lang w:eastAsia="en-GB"/>
              </w:rPr>
              <w:t>29 de julio</w:t>
            </w:r>
            <w:r w:rsidR="00660140" w:rsidRPr="00253DFF">
              <w:rPr>
                <w:rFonts w:ascii="Gill Sans MT" w:eastAsia="Times New Roman" w:hAnsi="Gill Sans MT"/>
                <w:szCs w:val="24"/>
                <w:lang w:eastAsia="en-GB"/>
              </w:rPr>
              <w:t xml:space="preserve"> de </w:t>
            </w:r>
            <w:r w:rsidR="00900ABF">
              <w:rPr>
                <w:rFonts w:ascii="Gill Sans MT" w:eastAsia="Times New Roman" w:hAnsi="Gill Sans MT"/>
                <w:szCs w:val="24"/>
                <w:lang w:eastAsia="en-GB"/>
              </w:rPr>
              <w:t>2017</w:t>
            </w:r>
            <w:bookmarkStart w:id="0" w:name="_GoBack"/>
            <w:bookmarkEnd w:id="0"/>
          </w:p>
        </w:tc>
      </w:tr>
    </w:tbl>
    <w:p w14:paraId="51D39EEF" w14:textId="77777777" w:rsidR="009B0D1E" w:rsidRPr="00253DFF" w:rsidRDefault="002A5BDA" w:rsidP="00242031">
      <w:pPr>
        <w:spacing w:after="0" w:line="240" w:lineRule="auto"/>
      </w:pPr>
      <w:r w:rsidRPr="00253DFF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D39F38" wp14:editId="51D39F39">
            <wp:simplePos x="0" y="0"/>
            <wp:positionH relativeFrom="margin">
              <wp:posOffset>3797935</wp:posOffset>
            </wp:positionH>
            <wp:positionV relativeFrom="margin">
              <wp:posOffset>-405130</wp:posOffset>
            </wp:positionV>
            <wp:extent cx="2321560" cy="476885"/>
            <wp:effectExtent l="0" t="0" r="2540" b="0"/>
            <wp:wrapSquare wrapText="bothSides"/>
            <wp:docPr id="5" name="Picture 1" descr="Description: save_the_children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ve_the_children_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39EF0" w14:textId="77777777" w:rsidR="009B0D1E" w:rsidRPr="00253DFF" w:rsidRDefault="009B0D1E" w:rsidP="005842FF">
      <w:pPr>
        <w:tabs>
          <w:tab w:val="left" w:pos="2216"/>
        </w:tabs>
        <w:spacing w:after="0" w:line="240" w:lineRule="auto"/>
        <w:rPr>
          <w:rFonts w:ascii="Gill Sans MT" w:hAnsi="Gill Sans MT"/>
        </w:rPr>
      </w:pPr>
    </w:p>
    <w:p w14:paraId="51D39EF1" w14:textId="77777777" w:rsidR="005842FF" w:rsidRPr="00253DFF" w:rsidRDefault="00246B84" w:rsidP="005842FF">
      <w:pPr>
        <w:pStyle w:val="Heading1"/>
        <w:spacing w:line="360" w:lineRule="auto"/>
        <w:rPr>
          <w:rFonts w:ascii="Gill Sans MT" w:hAnsi="Gill Sans MT"/>
          <w:color w:val="FF0000"/>
          <w:sz w:val="32"/>
          <w:szCs w:val="22"/>
          <w:lang w:val="es-ES_tradnl"/>
        </w:rPr>
      </w:pPr>
      <w:r w:rsidRPr="00253DFF">
        <w:rPr>
          <w:rFonts w:ascii="Gill Sans MT" w:hAnsi="Gill Sans MT"/>
          <w:color w:val="FF0000"/>
          <w:sz w:val="32"/>
          <w:szCs w:val="22"/>
          <w:lang w:val="es-ES_tradnl"/>
        </w:rPr>
        <w:t>SECCIÓN</w:t>
      </w:r>
      <w:r w:rsidR="005842FF" w:rsidRPr="00253DFF">
        <w:rPr>
          <w:rFonts w:ascii="Gill Sans MT" w:hAnsi="Gill Sans MT"/>
          <w:color w:val="FF0000"/>
          <w:sz w:val="32"/>
          <w:szCs w:val="22"/>
          <w:lang w:val="es-ES_tradnl"/>
        </w:rPr>
        <w:t xml:space="preserve"> 1</w:t>
      </w:r>
    </w:p>
    <w:p w14:paraId="51D39EF2" w14:textId="77777777" w:rsidR="005842FF" w:rsidRPr="00253DFF" w:rsidRDefault="00246B84" w:rsidP="005842FF">
      <w:pPr>
        <w:numPr>
          <w:ilvl w:val="1"/>
          <w:numId w:val="1"/>
        </w:numPr>
        <w:spacing w:before="40" w:after="40" w:line="360" w:lineRule="auto"/>
        <w:ind w:left="426" w:hanging="426"/>
        <w:rPr>
          <w:rFonts w:ascii="Arial" w:hAnsi="Arial"/>
          <w:color w:val="FF0000"/>
          <w:sz w:val="24"/>
        </w:rPr>
      </w:pPr>
      <w:r w:rsidRPr="00253DFF">
        <w:rPr>
          <w:rFonts w:ascii="Gill Sans MT" w:eastAsia="Times New Roman" w:hAnsi="Gill Sans MT"/>
          <w:b/>
          <w:bCs/>
          <w:caps/>
          <w:color w:val="FF0000"/>
          <w:sz w:val="28"/>
          <w:lang w:eastAsia="x-none"/>
        </w:rPr>
        <w:t>DECLARACIÓN DE LA POLÍTICA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842FF" w:rsidRPr="00253DFF" w14:paraId="51D39EFA" w14:textId="77777777" w:rsidTr="005842FF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39EF3" w14:textId="77777777" w:rsidR="005842FF" w:rsidRPr="00253DFF" w:rsidRDefault="005842FF" w:rsidP="005842FF">
            <w:pPr>
              <w:spacing w:before="40" w:after="40"/>
              <w:rPr>
                <w:rFonts w:ascii="Gill Sans MT" w:hAnsi="Gill Sans MT"/>
              </w:rPr>
            </w:pPr>
          </w:p>
          <w:p w14:paraId="51D39EF4" w14:textId="77777777" w:rsidR="005842FF" w:rsidRPr="00253DFF" w:rsidRDefault="00E82681" w:rsidP="005842FF">
            <w:pPr>
              <w:spacing w:before="40" w:after="40"/>
              <w:jc w:val="both"/>
              <w:rPr>
                <w:rFonts w:ascii="Arial" w:hAnsi="Arial"/>
                <w:color w:val="0070C0"/>
                <w:sz w:val="20"/>
              </w:rPr>
            </w:pPr>
            <w:r w:rsidRPr="00253DFF">
              <w:rPr>
                <w:rFonts w:ascii="Gill Sans MT" w:hAnsi="Gill Sans MT"/>
              </w:rPr>
              <w:t xml:space="preserve">El objetivo de esta Política </w:t>
            </w:r>
            <w:r w:rsidR="005842FF" w:rsidRPr="00253DFF">
              <w:rPr>
                <w:rFonts w:ascii="Gill Sans MT" w:hAnsi="Gill Sans MT"/>
              </w:rPr>
              <w:t>Disciplinar</w:t>
            </w:r>
            <w:r w:rsidRPr="00253DFF">
              <w:rPr>
                <w:rFonts w:ascii="Gill Sans MT" w:hAnsi="Gill Sans MT"/>
              </w:rPr>
              <w:t xml:space="preserve">ia es tener un procedimiento justo y no discriminatorio para escuchar y tratar alegaciones de mala conducta y para lograr mejoras en la conducta de los empleados de </w:t>
            </w:r>
            <w:r w:rsidR="005842FF" w:rsidRPr="00253DFF">
              <w:rPr>
                <w:rFonts w:ascii="Gill Sans MT" w:hAnsi="Gill Sans MT"/>
              </w:rPr>
              <w:t>SCI.</w:t>
            </w:r>
          </w:p>
          <w:p w14:paraId="51D39EF5" w14:textId="77777777" w:rsidR="005842FF" w:rsidRPr="00253DFF" w:rsidRDefault="005842FF" w:rsidP="005842FF">
            <w:pPr>
              <w:spacing w:before="40" w:after="40"/>
              <w:jc w:val="both"/>
              <w:rPr>
                <w:rFonts w:ascii="Gill Sans MT" w:hAnsi="Gill Sans MT"/>
              </w:rPr>
            </w:pPr>
          </w:p>
          <w:p w14:paraId="51D39EF6" w14:textId="77777777" w:rsidR="005842FF" w:rsidRPr="00253DFF" w:rsidRDefault="00E82681" w:rsidP="005842FF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Esta política es aplicable a todos los empleados de </w:t>
            </w:r>
            <w:r w:rsidR="005842FF" w:rsidRPr="00253DFF">
              <w:rPr>
                <w:rFonts w:ascii="Gill Sans MT" w:hAnsi="Gill Sans MT"/>
              </w:rPr>
              <w:t>Save the Children International (SCI).</w:t>
            </w:r>
          </w:p>
          <w:p w14:paraId="51D39EF7" w14:textId="77777777" w:rsidR="005842FF" w:rsidRPr="00253DFF" w:rsidRDefault="00E82681" w:rsidP="00E82681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A fin de asegurar una implementación efectiva de esta política, debe haber procedimientos disciplinarios para el personal nacional en cada país donde opera </w:t>
            </w:r>
            <w:r w:rsidR="005842FF" w:rsidRPr="00253DFF">
              <w:rPr>
                <w:rFonts w:ascii="Gill Sans MT" w:hAnsi="Gill Sans MT"/>
              </w:rPr>
              <w:t xml:space="preserve">SCI, </w:t>
            </w:r>
            <w:r w:rsidRPr="00253DFF">
              <w:rPr>
                <w:rFonts w:ascii="Gill Sans MT" w:hAnsi="Gill Sans MT"/>
              </w:rPr>
              <w:t>incluyendo todas las oficinas de país, las oficinas regionales, las oficinas de incidencia y el centro</w:t>
            </w:r>
            <w:r w:rsidR="005842FF" w:rsidRPr="00253DFF">
              <w:rPr>
                <w:rFonts w:ascii="Gill Sans MT" w:hAnsi="Gill Sans MT"/>
              </w:rPr>
              <w:t xml:space="preserve">; </w:t>
            </w:r>
            <w:r w:rsidRPr="00253DFF">
              <w:rPr>
                <w:rFonts w:ascii="Gill Sans MT" w:hAnsi="Gill Sans MT"/>
              </w:rPr>
              <w:t>también tiene que haber un procedimiento disciplinario para el personal bajo contratos internacional</w:t>
            </w:r>
            <w:r w:rsidR="00253DFF">
              <w:rPr>
                <w:rFonts w:ascii="Gill Sans MT" w:hAnsi="Gill Sans MT"/>
              </w:rPr>
              <w:t>es</w:t>
            </w:r>
            <w:r w:rsidR="005842FF" w:rsidRPr="00253DFF">
              <w:rPr>
                <w:rFonts w:ascii="Gill Sans MT" w:hAnsi="Gill Sans MT"/>
              </w:rPr>
              <w:t>.</w:t>
            </w:r>
          </w:p>
          <w:p w14:paraId="51D39EF8" w14:textId="77777777" w:rsidR="005842FF" w:rsidRPr="00253DFF" w:rsidRDefault="00E82681" w:rsidP="005842FF">
            <w:pPr>
              <w:spacing w:before="40" w:after="40"/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Todos los procedimientos </w:t>
            </w:r>
            <w:r w:rsidR="005842FF" w:rsidRPr="00253DFF">
              <w:rPr>
                <w:rFonts w:ascii="Gill Sans MT" w:hAnsi="Gill Sans MT"/>
              </w:rPr>
              <w:t>disciplinar</w:t>
            </w:r>
            <w:r w:rsidRPr="00253DFF">
              <w:rPr>
                <w:rFonts w:ascii="Gill Sans MT" w:hAnsi="Gill Sans MT"/>
              </w:rPr>
              <w:t>ios tienen que cumplir con la legislación local</w:t>
            </w:r>
            <w:r w:rsidR="005842FF" w:rsidRPr="00253DFF">
              <w:rPr>
                <w:rFonts w:ascii="Gill Sans MT" w:hAnsi="Gill Sans MT"/>
              </w:rPr>
              <w:t xml:space="preserve">, </w:t>
            </w:r>
            <w:r w:rsidRPr="00253DFF">
              <w:rPr>
                <w:rFonts w:ascii="Gill Sans MT" w:hAnsi="Gill Sans MT"/>
              </w:rPr>
              <w:t>que tiene prioridad sobre lo dispuesto en esta política y los procedimientos relacionados</w:t>
            </w:r>
            <w:r w:rsidR="005842FF" w:rsidRPr="00253DFF">
              <w:rPr>
                <w:rFonts w:ascii="Gill Sans MT" w:hAnsi="Gill Sans MT"/>
              </w:rPr>
              <w:t>.</w:t>
            </w:r>
          </w:p>
          <w:p w14:paraId="51D39EF9" w14:textId="77777777" w:rsidR="005842FF" w:rsidRPr="00253DFF" w:rsidRDefault="005842FF" w:rsidP="005842FF">
            <w:pPr>
              <w:spacing w:before="40" w:after="40"/>
              <w:jc w:val="both"/>
              <w:rPr>
                <w:rFonts w:ascii="Gill Sans MT" w:eastAsia="Times New Roman" w:hAnsi="Gill Sans MT"/>
                <w:b/>
                <w:bCs/>
                <w:caps/>
                <w:lang w:eastAsia="x-none"/>
              </w:rPr>
            </w:pPr>
          </w:p>
        </w:tc>
      </w:tr>
    </w:tbl>
    <w:p w14:paraId="51D39EFB" w14:textId="77777777" w:rsidR="005842FF" w:rsidRPr="00253DFF" w:rsidRDefault="005842FF" w:rsidP="005842FF">
      <w:pPr>
        <w:rPr>
          <w:rFonts w:ascii="Gill Sans MT" w:hAnsi="Gill Sans MT"/>
        </w:rPr>
      </w:pPr>
      <w:bookmarkStart w:id="1" w:name="_Toc300753007"/>
      <w:bookmarkStart w:id="2" w:name="_Toc338159531"/>
    </w:p>
    <w:p w14:paraId="51D39EFC" w14:textId="77777777" w:rsidR="005842FF" w:rsidRPr="00253DFF" w:rsidRDefault="004951D3" w:rsidP="005842FF">
      <w:pPr>
        <w:pStyle w:val="Heading1"/>
        <w:rPr>
          <w:rFonts w:ascii="Gill Sans MT" w:hAnsi="Gill Sans MT"/>
          <w:sz w:val="22"/>
          <w:szCs w:val="22"/>
          <w:lang w:val="es-ES_tradnl"/>
        </w:rPr>
      </w:pPr>
      <w:r w:rsidRPr="00253DFF">
        <w:rPr>
          <w:rFonts w:ascii="Gill Sans MT" w:hAnsi="Gill Sans MT"/>
          <w:color w:val="FF0000"/>
          <w:sz w:val="32"/>
          <w:szCs w:val="22"/>
          <w:lang w:val="es-ES_tradnl"/>
        </w:rPr>
        <w:br/>
      </w:r>
      <w:r w:rsidR="00246B84" w:rsidRPr="00253DFF">
        <w:rPr>
          <w:rFonts w:ascii="Gill Sans MT" w:hAnsi="Gill Sans MT"/>
          <w:color w:val="FF0000"/>
          <w:sz w:val="32"/>
          <w:szCs w:val="22"/>
          <w:lang w:val="es-ES_tradnl"/>
        </w:rPr>
        <w:t>SECCIÓN</w:t>
      </w:r>
      <w:r w:rsidR="005842FF" w:rsidRPr="00253DFF">
        <w:rPr>
          <w:rFonts w:ascii="Gill Sans MT" w:hAnsi="Gill Sans MT"/>
          <w:color w:val="FF0000"/>
          <w:sz w:val="32"/>
          <w:szCs w:val="22"/>
          <w:lang w:val="es-ES_tradnl"/>
        </w:rPr>
        <w:t xml:space="preserve"> 2 </w:t>
      </w:r>
      <w:bookmarkEnd w:id="1"/>
      <w:bookmarkEnd w:id="2"/>
      <w:r w:rsidR="005842FF" w:rsidRPr="00253DFF">
        <w:rPr>
          <w:rFonts w:ascii="Gill Sans MT" w:hAnsi="Gill Sans MT"/>
          <w:sz w:val="22"/>
          <w:szCs w:val="22"/>
          <w:lang w:val="es-ES_tradnl"/>
        </w:rPr>
        <w:br/>
      </w:r>
    </w:p>
    <w:p w14:paraId="51D39EFD" w14:textId="77777777" w:rsidR="005842FF" w:rsidRPr="00253DFF" w:rsidRDefault="005842FF" w:rsidP="0084538B">
      <w:pPr>
        <w:pStyle w:val="Heading2"/>
        <w:spacing w:line="360" w:lineRule="auto"/>
        <w:rPr>
          <w:rFonts w:ascii="Gill Sans MT" w:hAnsi="Gill Sans MT"/>
          <w:color w:val="FF0000"/>
          <w:sz w:val="28"/>
          <w:szCs w:val="22"/>
          <w:lang w:val="es-ES_tradnl"/>
        </w:rPr>
      </w:pPr>
      <w:bookmarkStart w:id="3" w:name="_Toc300753008"/>
      <w:bookmarkStart w:id="4" w:name="_Toc338159532"/>
      <w:r w:rsidRPr="00253DFF">
        <w:rPr>
          <w:rFonts w:ascii="Gill Sans MT" w:hAnsi="Gill Sans MT"/>
          <w:color w:val="FF0000"/>
          <w:sz w:val="28"/>
          <w:szCs w:val="22"/>
          <w:lang w:val="es-ES_tradnl"/>
        </w:rPr>
        <w:t>2.1 princip</w:t>
      </w:r>
      <w:r w:rsidR="00E82681" w:rsidRPr="00253DFF">
        <w:rPr>
          <w:rFonts w:ascii="Gill Sans MT" w:hAnsi="Gill Sans MT"/>
          <w:color w:val="FF0000"/>
          <w:sz w:val="28"/>
          <w:szCs w:val="22"/>
          <w:lang w:val="es-ES_tradnl"/>
        </w:rPr>
        <w:t>IOS</w:t>
      </w:r>
      <w:bookmarkEnd w:id="3"/>
      <w:bookmarkEnd w:id="4"/>
      <w:r w:rsidRPr="00253DFF">
        <w:rPr>
          <w:rFonts w:ascii="Gill Sans MT" w:hAnsi="Gill Sans MT"/>
          <w:color w:val="FF0000"/>
          <w:sz w:val="28"/>
          <w:szCs w:val="22"/>
          <w:lang w:val="es-ES_tradnl"/>
        </w:rPr>
        <w:t>:</w:t>
      </w:r>
    </w:p>
    <w:p w14:paraId="51D39EFE" w14:textId="77777777" w:rsidR="005842FF" w:rsidRPr="00253DFF" w:rsidRDefault="00E82681" w:rsidP="0084538B">
      <w:pPr>
        <w:rPr>
          <w:rFonts w:ascii="Gill Sans MT" w:hAnsi="Gill Sans MT"/>
        </w:rPr>
      </w:pPr>
      <w:r w:rsidRPr="00253DFF">
        <w:rPr>
          <w:rFonts w:ascii="Gill Sans MT" w:hAnsi="Gill Sans MT"/>
        </w:rPr>
        <w:t xml:space="preserve">La Política </w:t>
      </w:r>
      <w:r w:rsidR="005842FF" w:rsidRPr="00253DFF">
        <w:rPr>
          <w:rFonts w:ascii="Gill Sans MT" w:hAnsi="Gill Sans MT"/>
        </w:rPr>
        <w:t>Disciplinar</w:t>
      </w:r>
      <w:r w:rsidRPr="00253DFF">
        <w:rPr>
          <w:rFonts w:ascii="Gill Sans MT" w:hAnsi="Gill Sans MT"/>
        </w:rPr>
        <w:t xml:space="preserve">ia está comprometida con y </w:t>
      </w:r>
      <w:r w:rsidR="00253DFF">
        <w:rPr>
          <w:rFonts w:ascii="Gill Sans MT" w:hAnsi="Gill Sans MT"/>
        </w:rPr>
        <w:t xml:space="preserve">es </w:t>
      </w:r>
      <w:r w:rsidRPr="00253DFF">
        <w:rPr>
          <w:rFonts w:ascii="Gill Sans MT" w:hAnsi="Gill Sans MT"/>
        </w:rPr>
        <w:t>guiada por los siguientes principios</w:t>
      </w:r>
      <w:r w:rsidR="005842FF" w:rsidRPr="00253DFF">
        <w:rPr>
          <w:rFonts w:ascii="Gill Sans MT" w:hAnsi="Gill Sans MT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4538B" w:rsidRPr="00253DFF" w14:paraId="51D39F16" w14:textId="77777777" w:rsidTr="0084538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39EFF" w14:textId="77777777" w:rsidR="0084538B" w:rsidRPr="00253DFF" w:rsidRDefault="0084538B" w:rsidP="0084538B">
            <w:pPr>
              <w:spacing w:before="40" w:after="40" w:line="260" w:lineRule="exact"/>
              <w:ind w:left="601"/>
              <w:rPr>
                <w:rFonts w:ascii="Gill Sans MT" w:hAnsi="Gill Sans MT"/>
              </w:rPr>
            </w:pPr>
          </w:p>
          <w:p w14:paraId="51D39F00" w14:textId="77777777" w:rsidR="0084538B" w:rsidRPr="00253DFF" w:rsidRDefault="00E82681" w:rsidP="00F10524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Se espera que los empleados de </w:t>
            </w:r>
            <w:r w:rsidR="0084538B" w:rsidRPr="00253DFF">
              <w:rPr>
                <w:rFonts w:ascii="Gill Sans MT" w:hAnsi="Gill Sans MT"/>
              </w:rPr>
              <w:t xml:space="preserve">SCI </w:t>
            </w:r>
            <w:r w:rsidRPr="00253DFF">
              <w:rPr>
                <w:rFonts w:ascii="Gill Sans MT" w:hAnsi="Gill Sans MT"/>
              </w:rPr>
              <w:t>se comporten unos con otros con respeto y que cooperen para asegurar que la organización funcione efectivamente</w:t>
            </w:r>
            <w:r w:rsidR="0084538B" w:rsidRPr="00253DFF">
              <w:rPr>
                <w:rFonts w:ascii="Gill Sans MT" w:hAnsi="Gill Sans MT"/>
              </w:rPr>
              <w:t xml:space="preserve">. </w:t>
            </w:r>
            <w:r w:rsidRPr="00253DFF">
              <w:rPr>
                <w:rFonts w:ascii="Gill Sans MT" w:hAnsi="Gill Sans MT"/>
              </w:rPr>
              <w:t xml:space="preserve">El comportamiento y la conducta de todos los empleados tienen que reflejar nuestros valores y tienen que cumplir con nuestro Código de </w:t>
            </w:r>
            <w:r w:rsidR="0084538B" w:rsidRPr="00253DFF">
              <w:rPr>
                <w:rFonts w:ascii="Gill Sans MT" w:hAnsi="Gill Sans MT"/>
              </w:rPr>
              <w:t>Conduct</w:t>
            </w:r>
            <w:r w:rsidRPr="00253DFF">
              <w:rPr>
                <w:rFonts w:ascii="Gill Sans MT" w:hAnsi="Gill Sans MT"/>
              </w:rPr>
              <w:t xml:space="preserve">a y otras políticas y directrices de </w:t>
            </w:r>
            <w:r w:rsidR="0084538B" w:rsidRPr="00253DFF">
              <w:rPr>
                <w:rFonts w:ascii="Gill Sans MT" w:hAnsi="Gill Sans MT"/>
              </w:rPr>
              <w:t>SCI</w:t>
            </w:r>
            <w:r w:rsidRPr="00253DFF">
              <w:rPr>
                <w:rFonts w:ascii="Gill Sans MT" w:hAnsi="Gill Sans MT"/>
              </w:rPr>
              <w:t xml:space="preserve"> que definen el estándar esperado en cuanto a la conducta</w:t>
            </w:r>
            <w:r w:rsidR="0084538B" w:rsidRPr="00253DFF">
              <w:rPr>
                <w:rFonts w:ascii="Gill Sans MT" w:hAnsi="Gill Sans MT"/>
              </w:rPr>
              <w:t>.</w:t>
            </w:r>
          </w:p>
          <w:p w14:paraId="51D39F01" w14:textId="77777777" w:rsidR="0084538B" w:rsidRPr="00253DFF" w:rsidRDefault="0084538B" w:rsidP="0084538B">
            <w:pPr>
              <w:spacing w:before="40" w:after="40" w:line="260" w:lineRule="exact"/>
              <w:ind w:left="601" w:hanging="283"/>
              <w:rPr>
                <w:rFonts w:ascii="Gill Sans MT" w:hAnsi="Gill Sans MT"/>
              </w:rPr>
            </w:pPr>
          </w:p>
          <w:p w14:paraId="51D39F02" w14:textId="77777777" w:rsidR="0084538B" w:rsidRPr="00253DFF" w:rsidRDefault="00E82681" w:rsidP="00E82681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lastRenderedPageBreak/>
              <w:t>Se pueden lograr mejoras en la conducta y el comportamiento con un enfoque no punitivo, como ser asesoramiento y capacitación. Normalmente, se aplican estos enfoques en primer lugar</w:t>
            </w:r>
            <w:r w:rsidR="0084538B" w:rsidRPr="00253DFF">
              <w:rPr>
                <w:rFonts w:ascii="Gill Sans MT" w:hAnsi="Gill Sans MT"/>
              </w:rPr>
              <w:t xml:space="preserve">. </w:t>
            </w:r>
            <w:r w:rsidRPr="00253DFF">
              <w:rPr>
                <w:rFonts w:ascii="Gill Sans MT" w:hAnsi="Gill Sans MT"/>
              </w:rPr>
              <w:t>No obstante</w:t>
            </w:r>
            <w:r w:rsidR="0084538B" w:rsidRPr="00253DFF">
              <w:rPr>
                <w:rFonts w:ascii="Gill Sans MT" w:hAnsi="Gill Sans MT"/>
              </w:rPr>
              <w:t xml:space="preserve">, </w:t>
            </w:r>
            <w:r w:rsidRPr="00253DFF">
              <w:rPr>
                <w:rFonts w:ascii="Gill Sans MT" w:hAnsi="Gill Sans MT"/>
              </w:rPr>
              <w:t>esta política también permite la aplicación de sanciones disciplinarias en caso de conductas que no sean acordes a los estándares requeridos, a pesar del asesoramiento y la capacitación</w:t>
            </w:r>
            <w:r w:rsidR="0084538B" w:rsidRPr="00253DFF">
              <w:rPr>
                <w:rFonts w:ascii="Gill Sans MT" w:hAnsi="Gill Sans MT"/>
              </w:rPr>
              <w:t>.</w:t>
            </w:r>
          </w:p>
          <w:p w14:paraId="51D39F03" w14:textId="77777777" w:rsidR="0084538B" w:rsidRPr="00253DFF" w:rsidRDefault="0084538B" w:rsidP="00DF7680">
            <w:pPr>
              <w:spacing w:before="40" w:after="40" w:line="260" w:lineRule="exact"/>
              <w:ind w:left="601" w:hanging="283"/>
              <w:jc w:val="both"/>
              <w:rPr>
                <w:rFonts w:ascii="Gill Sans MT" w:hAnsi="Gill Sans MT"/>
              </w:rPr>
            </w:pPr>
          </w:p>
          <w:p w14:paraId="51D39F04" w14:textId="77777777" w:rsidR="0084538B" w:rsidRPr="00253DFF" w:rsidRDefault="00E82681" w:rsidP="004258FA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>Al implementar medidas disciplinarias, se tienen que cumplir las siguientes buenas prácticas:</w:t>
            </w:r>
          </w:p>
          <w:p w14:paraId="51D39F05" w14:textId="77777777" w:rsidR="0084538B" w:rsidRPr="00253DFF" w:rsidRDefault="00E82681" w:rsidP="00DD2C46">
            <w:pPr>
              <w:numPr>
                <w:ilvl w:val="1"/>
                <w:numId w:val="3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En todos los casos, el gerente tiene que t</w:t>
            </w:r>
            <w:r w:rsidR="00712336">
              <w:rPr>
                <w:rFonts w:ascii="Gill Sans MT" w:hAnsi="Gill Sans MT"/>
                <w:lang w:eastAsia="x-none"/>
              </w:rPr>
              <w:t>r</w:t>
            </w:r>
            <w:r w:rsidRPr="00253DFF">
              <w:rPr>
                <w:rFonts w:ascii="Gill Sans MT" w:hAnsi="Gill Sans MT"/>
                <w:lang w:eastAsia="x-none"/>
              </w:rPr>
              <w:t>atar de inmediato cualquier asunto disciplinario y no tiene que haber retrasos irrazonables en reuniones, decisiones o la confirmación de esas decisiones</w:t>
            </w:r>
            <w:r w:rsidR="0084538B" w:rsidRPr="00253DFF">
              <w:rPr>
                <w:rFonts w:ascii="Gill Sans MT" w:hAnsi="Gill Sans MT"/>
                <w:lang w:eastAsia="x-none"/>
              </w:rPr>
              <w:t>.</w:t>
            </w:r>
          </w:p>
          <w:p w14:paraId="51D39F06" w14:textId="77777777" w:rsidR="0084538B" w:rsidRPr="00253DFF" w:rsidRDefault="00E82681" w:rsidP="00E82681">
            <w:pPr>
              <w:numPr>
                <w:ilvl w:val="1"/>
                <w:numId w:val="3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 xml:space="preserve">Los gerentes de línea tienen que actuar coherentemente en lo que respecta a los asuntos disciplinarios. Lo cual será monitoreado por RRHH. </w:t>
            </w:r>
          </w:p>
          <w:p w14:paraId="51D39F07" w14:textId="77777777" w:rsidR="00E82681" w:rsidRPr="00253DFF" w:rsidRDefault="00E82681" w:rsidP="00DF7680">
            <w:pPr>
              <w:numPr>
                <w:ilvl w:val="1"/>
                <w:numId w:val="3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 xml:space="preserve">Tiene que haber investigaciones para establecer los hechos del caso. </w:t>
            </w:r>
          </w:p>
          <w:p w14:paraId="51D39F08" w14:textId="77777777" w:rsidR="0084538B" w:rsidRPr="00253DFF" w:rsidRDefault="00E82681" w:rsidP="007C4BD0">
            <w:pPr>
              <w:numPr>
                <w:ilvl w:val="1"/>
                <w:numId w:val="3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 xml:space="preserve">Se tiene que permitir a los empleados </w:t>
            </w:r>
            <w:r w:rsidR="00527269" w:rsidRPr="00253DFF">
              <w:rPr>
                <w:rFonts w:ascii="Gill Sans MT" w:hAnsi="Gill Sans MT"/>
                <w:lang w:eastAsia="x-none"/>
              </w:rPr>
              <w:t xml:space="preserve">ser acompañados por un colega en cualquier reunión disciplinaria </w:t>
            </w:r>
            <w:r w:rsidR="0084538B" w:rsidRPr="00253DFF">
              <w:rPr>
                <w:rFonts w:ascii="Gill Sans MT" w:hAnsi="Gill Sans MT"/>
                <w:lang w:eastAsia="x-none"/>
              </w:rPr>
              <w:t>formal.</w:t>
            </w:r>
          </w:p>
          <w:p w14:paraId="51D39F09" w14:textId="77777777" w:rsidR="0084538B" w:rsidRPr="00253DFF" w:rsidRDefault="00527269" w:rsidP="002116E4">
            <w:pPr>
              <w:numPr>
                <w:ilvl w:val="1"/>
                <w:numId w:val="3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Se tiene que permitir a los empleados apelar cualquier decisión formal que se haya tomado.</w:t>
            </w:r>
          </w:p>
          <w:p w14:paraId="51D39F0A" w14:textId="77777777" w:rsidR="0084538B" w:rsidRPr="00253DFF" w:rsidRDefault="0084538B" w:rsidP="0084538B">
            <w:pPr>
              <w:spacing w:before="40" w:after="40" w:line="260" w:lineRule="exact"/>
              <w:ind w:left="601" w:hanging="283"/>
              <w:rPr>
                <w:rFonts w:ascii="Gill Sans MT" w:hAnsi="Gill Sans MT"/>
              </w:rPr>
            </w:pPr>
          </w:p>
          <w:p w14:paraId="51D39F0B" w14:textId="77777777" w:rsidR="0084538B" w:rsidRPr="00253DFF" w:rsidRDefault="00527269" w:rsidP="00DF7680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Los procedimientos disciplinarios tienen que incluir los siguientes </w:t>
            </w:r>
            <w:r w:rsidR="0084538B" w:rsidRPr="00253DFF">
              <w:rPr>
                <w:rFonts w:ascii="Gill Sans MT" w:hAnsi="Gill Sans MT"/>
              </w:rPr>
              <w:t>element</w:t>
            </w:r>
            <w:r w:rsidRPr="00253DFF">
              <w:rPr>
                <w:rFonts w:ascii="Gill Sans MT" w:hAnsi="Gill Sans MT"/>
              </w:rPr>
              <w:t>o</w:t>
            </w:r>
            <w:r w:rsidR="0084538B" w:rsidRPr="00253DFF">
              <w:rPr>
                <w:rFonts w:ascii="Gill Sans MT" w:hAnsi="Gill Sans MT"/>
              </w:rPr>
              <w:t>s:</w:t>
            </w:r>
          </w:p>
          <w:p w14:paraId="51D39F0C" w14:textId="77777777" w:rsidR="0084538B" w:rsidRPr="00253DFF" w:rsidRDefault="00527269" w:rsidP="00122A6C">
            <w:pPr>
              <w:numPr>
                <w:ilvl w:val="1"/>
                <w:numId w:val="4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Etapa i</w:t>
            </w:r>
            <w:r w:rsidR="0084538B" w:rsidRPr="00253DFF">
              <w:rPr>
                <w:rFonts w:ascii="Gill Sans MT" w:hAnsi="Gill Sans MT"/>
                <w:lang w:eastAsia="x-none"/>
              </w:rPr>
              <w:t xml:space="preserve">nformal: </w:t>
            </w:r>
            <w:r w:rsidRPr="00253DFF">
              <w:rPr>
                <w:rFonts w:ascii="Gill Sans MT" w:hAnsi="Gill Sans MT"/>
                <w:lang w:eastAsia="x-none"/>
              </w:rPr>
              <w:t>una discusión con el empleado y asesoramiento del gerente de línea para alentar y apoyar a los empleados a mejorar su conducta.</w:t>
            </w:r>
          </w:p>
          <w:p w14:paraId="51D39F0D" w14:textId="77777777" w:rsidR="0084538B" w:rsidRPr="00253DFF" w:rsidRDefault="00527269" w:rsidP="003A5CF6">
            <w:pPr>
              <w:numPr>
                <w:ilvl w:val="1"/>
                <w:numId w:val="4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Etapa f</w:t>
            </w:r>
            <w:r w:rsidR="0084538B" w:rsidRPr="00253DFF">
              <w:rPr>
                <w:rFonts w:ascii="Gill Sans MT" w:hAnsi="Gill Sans MT"/>
                <w:lang w:eastAsia="x-none"/>
              </w:rPr>
              <w:t xml:space="preserve">ormal: </w:t>
            </w:r>
            <w:r w:rsidRPr="00253DFF">
              <w:rPr>
                <w:rFonts w:ascii="Gill Sans MT" w:hAnsi="Gill Sans MT"/>
                <w:lang w:eastAsia="x-none"/>
              </w:rPr>
              <w:t>si, después de un periodo de discusiones y acciones consultivas informales, el empleado no cumple ni mantiene estándares de conducta debidas,  puede ser necesario avanzar a la etapa formal</w:t>
            </w:r>
            <w:r w:rsidR="0084538B" w:rsidRPr="00253DFF">
              <w:rPr>
                <w:rFonts w:ascii="Gill Sans MT" w:hAnsi="Gill Sans MT"/>
                <w:lang w:eastAsia="x-none"/>
              </w:rPr>
              <w:t xml:space="preserve">, </w:t>
            </w:r>
            <w:r w:rsidRPr="00253DFF">
              <w:rPr>
                <w:rFonts w:ascii="Gill Sans MT" w:hAnsi="Gill Sans MT"/>
                <w:lang w:eastAsia="x-none"/>
              </w:rPr>
              <w:t xml:space="preserve">que implicaría una audiencia </w:t>
            </w:r>
            <w:r w:rsidR="0084538B" w:rsidRPr="00253DFF">
              <w:rPr>
                <w:rFonts w:ascii="Gill Sans MT" w:hAnsi="Gill Sans MT"/>
                <w:lang w:eastAsia="x-none"/>
              </w:rPr>
              <w:t>disciplinar</w:t>
            </w:r>
            <w:r w:rsidRPr="00253DFF">
              <w:rPr>
                <w:rFonts w:ascii="Gill Sans MT" w:hAnsi="Gill Sans MT"/>
                <w:lang w:eastAsia="x-none"/>
              </w:rPr>
              <w:t xml:space="preserve">ia de acuerdo con los procedimientos de </w:t>
            </w:r>
            <w:r w:rsidR="0084538B" w:rsidRPr="00253DFF">
              <w:rPr>
                <w:rFonts w:ascii="Gill Sans MT" w:hAnsi="Gill Sans MT"/>
                <w:lang w:eastAsia="x-none"/>
              </w:rPr>
              <w:t xml:space="preserve">SCI. </w:t>
            </w:r>
            <w:r w:rsidRPr="00253DFF">
              <w:rPr>
                <w:rFonts w:ascii="Gill Sans MT" w:hAnsi="Gill Sans MT"/>
                <w:lang w:eastAsia="x-none"/>
              </w:rPr>
              <w:t>Se pueden aplicar sanciones disciplinarias según sea necesario, y de acuerdo con el procedimiento relevante</w:t>
            </w:r>
            <w:r w:rsidR="0084538B" w:rsidRPr="00253DFF">
              <w:rPr>
                <w:rFonts w:ascii="Gill Sans MT" w:hAnsi="Gill Sans MT"/>
                <w:lang w:eastAsia="x-none"/>
              </w:rPr>
              <w:t>.</w:t>
            </w:r>
          </w:p>
          <w:p w14:paraId="51D39F0E" w14:textId="77777777" w:rsidR="0084538B" w:rsidRPr="00253DFF" w:rsidRDefault="00527269" w:rsidP="00DF7680">
            <w:pPr>
              <w:numPr>
                <w:ilvl w:val="1"/>
                <w:numId w:val="4"/>
              </w:numPr>
              <w:spacing w:before="40" w:after="40"/>
              <w:ind w:left="1168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Etapa de apelación</w:t>
            </w:r>
            <w:r w:rsidR="0084538B" w:rsidRPr="00253DFF">
              <w:rPr>
                <w:rFonts w:ascii="Gill Sans MT" w:hAnsi="Gill Sans MT"/>
                <w:lang w:eastAsia="x-none"/>
              </w:rPr>
              <w:t xml:space="preserve">: </w:t>
            </w:r>
            <w:r w:rsidRPr="00253DFF">
              <w:rPr>
                <w:rFonts w:ascii="Gill Sans MT" w:hAnsi="Gill Sans MT"/>
                <w:lang w:eastAsia="x-none"/>
              </w:rPr>
              <w:t>de acuerdo con el procedimiento disciplinari</w:t>
            </w:r>
            <w:r w:rsidR="00712336">
              <w:rPr>
                <w:rFonts w:ascii="Gill Sans MT" w:hAnsi="Gill Sans MT"/>
                <w:lang w:eastAsia="x-none"/>
              </w:rPr>
              <w:t>o</w:t>
            </w:r>
            <w:r w:rsidRPr="00253DFF">
              <w:rPr>
                <w:rFonts w:ascii="Gill Sans MT" w:hAnsi="Gill Sans MT"/>
                <w:lang w:eastAsia="x-none"/>
              </w:rPr>
              <w:t xml:space="preserve"> </w:t>
            </w:r>
            <w:r w:rsidR="0084538B" w:rsidRPr="00253DFF">
              <w:rPr>
                <w:rFonts w:ascii="Gill Sans MT" w:hAnsi="Gill Sans MT"/>
                <w:lang w:eastAsia="x-none"/>
              </w:rPr>
              <w:t>local.</w:t>
            </w:r>
          </w:p>
          <w:p w14:paraId="51D39F0F" w14:textId="77777777" w:rsidR="0084538B" w:rsidRPr="00253DFF" w:rsidRDefault="0084538B" w:rsidP="00DF7680">
            <w:pPr>
              <w:spacing w:before="40" w:after="40" w:line="260" w:lineRule="exact"/>
              <w:ind w:left="601" w:hanging="283"/>
              <w:jc w:val="both"/>
              <w:rPr>
                <w:rFonts w:ascii="Gill Sans MT" w:hAnsi="Gill Sans MT"/>
                <w:lang w:eastAsia="x-none"/>
              </w:rPr>
            </w:pPr>
          </w:p>
          <w:p w14:paraId="51D39F10" w14:textId="77777777" w:rsidR="0084538B" w:rsidRPr="00253DFF" w:rsidRDefault="00527269" w:rsidP="00527269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En caso de alegaciones de una mala conducta grave, en caso de ser justificado se puede avanzar más rápido por las etapas del procedimiento y la emisión de los diferentes niveles de sanciones</w:t>
            </w:r>
            <w:r w:rsidR="0084538B" w:rsidRPr="00253DFF">
              <w:rPr>
                <w:rFonts w:ascii="Gill Sans MT" w:hAnsi="Gill Sans MT"/>
                <w:lang w:eastAsia="x-none"/>
              </w:rPr>
              <w:t>.</w:t>
            </w:r>
          </w:p>
          <w:p w14:paraId="51D39F11" w14:textId="77777777" w:rsidR="0084538B" w:rsidRPr="00253DFF" w:rsidRDefault="0084538B" w:rsidP="00DF7680">
            <w:pPr>
              <w:spacing w:before="40" w:after="40" w:line="260" w:lineRule="exact"/>
              <w:ind w:left="601"/>
              <w:jc w:val="both"/>
              <w:rPr>
                <w:rFonts w:ascii="Gill Sans MT" w:hAnsi="Gill Sans MT"/>
                <w:lang w:eastAsia="x-none"/>
              </w:rPr>
            </w:pPr>
          </w:p>
          <w:p w14:paraId="51D39F12" w14:textId="77777777" w:rsidR="0084538B" w:rsidRPr="00253DFF" w:rsidRDefault="00527269" w:rsidP="00CF24ED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Puede ser necesaria una suspensión en algunas circunstancias durante una investigación. La suspensión en sí no es una acción punitiva; por lo tanto, el empleado seguirá recibiendo su salario y sus beneficios durante la suspensión</w:t>
            </w:r>
            <w:r w:rsidR="0084538B" w:rsidRPr="00253DFF">
              <w:rPr>
                <w:rFonts w:ascii="Gill Sans MT" w:hAnsi="Gill Sans MT"/>
                <w:lang w:eastAsia="x-none"/>
              </w:rPr>
              <w:t>.</w:t>
            </w:r>
          </w:p>
          <w:p w14:paraId="51D39F13" w14:textId="77777777" w:rsidR="0084538B" w:rsidRPr="00253DFF" w:rsidRDefault="0084538B" w:rsidP="00DF7680">
            <w:pPr>
              <w:spacing w:before="40" w:after="40" w:line="260" w:lineRule="exact"/>
              <w:jc w:val="both"/>
              <w:rPr>
                <w:rFonts w:ascii="Gill Sans MT" w:hAnsi="Gill Sans MT"/>
                <w:lang w:eastAsia="x-none"/>
              </w:rPr>
            </w:pPr>
          </w:p>
          <w:p w14:paraId="51D39F14" w14:textId="77777777" w:rsidR="0084538B" w:rsidRPr="00253DFF" w:rsidRDefault="00527269" w:rsidP="00D102AD">
            <w:pPr>
              <w:numPr>
                <w:ilvl w:val="0"/>
                <w:numId w:val="2"/>
              </w:numPr>
              <w:spacing w:before="40" w:after="40"/>
              <w:ind w:left="601" w:hanging="283"/>
              <w:jc w:val="both"/>
              <w:rPr>
                <w:rFonts w:ascii="Gill Sans MT" w:hAnsi="Gill Sans MT"/>
                <w:lang w:eastAsia="x-none"/>
              </w:rPr>
            </w:pPr>
            <w:r w:rsidRPr="00253DFF">
              <w:rPr>
                <w:rFonts w:ascii="Gill Sans MT" w:hAnsi="Gill Sans MT"/>
                <w:lang w:eastAsia="x-none"/>
              </w:rPr>
              <w:t>Las sanciones, incluyendo el despido, siempre tienen que ser autorizadas por el alto gerente relevante, de acuerdo con los procedimientos disciplinarios locales</w:t>
            </w:r>
            <w:r w:rsidR="0084538B" w:rsidRPr="00253DFF">
              <w:rPr>
                <w:rFonts w:ascii="Gill Sans MT" w:hAnsi="Gill Sans MT"/>
                <w:lang w:eastAsia="x-none"/>
              </w:rPr>
              <w:t>.</w:t>
            </w:r>
          </w:p>
          <w:p w14:paraId="51D39F15" w14:textId="77777777" w:rsidR="0084538B" w:rsidRPr="00253DFF" w:rsidRDefault="0084538B" w:rsidP="005842FF">
            <w:pPr>
              <w:rPr>
                <w:rFonts w:ascii="Gill Sans MT" w:hAnsi="Gill Sans MT"/>
              </w:rPr>
            </w:pPr>
          </w:p>
        </w:tc>
      </w:tr>
    </w:tbl>
    <w:p w14:paraId="51D39F17" w14:textId="77777777" w:rsidR="0084538B" w:rsidRPr="00253DFF" w:rsidRDefault="0084538B" w:rsidP="005842FF">
      <w:pPr>
        <w:rPr>
          <w:rFonts w:ascii="Gill Sans MT" w:hAnsi="Gill Sans MT"/>
        </w:rPr>
      </w:pPr>
    </w:p>
    <w:p w14:paraId="51D39F18" w14:textId="77777777" w:rsidR="0084538B" w:rsidRPr="00253DFF" w:rsidRDefault="0084538B" w:rsidP="005842FF">
      <w:pPr>
        <w:rPr>
          <w:rFonts w:ascii="Gill Sans MT" w:hAnsi="Gill Sans MT"/>
        </w:rPr>
      </w:pPr>
    </w:p>
    <w:p w14:paraId="51D39F19" w14:textId="77777777" w:rsidR="005842FF" w:rsidRPr="00253DFF" w:rsidRDefault="005842FF" w:rsidP="005842FF">
      <w:pPr>
        <w:spacing w:before="40" w:after="40" w:line="260" w:lineRule="exact"/>
        <w:rPr>
          <w:rFonts w:ascii="Gill Sans MT" w:hAnsi="Gill Sans MT"/>
          <w:lang w:eastAsia="x-none"/>
        </w:rPr>
      </w:pPr>
    </w:p>
    <w:p w14:paraId="51D39F1A" w14:textId="77777777" w:rsidR="005842FF" w:rsidRPr="00253DFF" w:rsidRDefault="005842FF" w:rsidP="0084538B">
      <w:pPr>
        <w:pStyle w:val="Heading2"/>
        <w:spacing w:line="360" w:lineRule="auto"/>
        <w:rPr>
          <w:rFonts w:ascii="Gill Sans MT" w:hAnsi="Gill Sans MT"/>
          <w:sz w:val="22"/>
          <w:szCs w:val="22"/>
          <w:lang w:val="es-ES_tradnl"/>
        </w:rPr>
      </w:pPr>
      <w:bookmarkStart w:id="5" w:name="_Toc300753013"/>
      <w:bookmarkStart w:id="6" w:name="_Toc338159537"/>
      <w:r w:rsidRPr="00253DFF">
        <w:rPr>
          <w:rFonts w:ascii="Gill Sans MT" w:hAnsi="Gill Sans MT"/>
          <w:color w:val="FF0000"/>
          <w:sz w:val="28"/>
          <w:szCs w:val="22"/>
          <w:lang w:val="es-ES_tradnl"/>
        </w:rPr>
        <w:t>3.1 defini</w:t>
      </w:r>
      <w:r w:rsidR="00527269" w:rsidRPr="00253DFF">
        <w:rPr>
          <w:rFonts w:ascii="Gill Sans MT" w:hAnsi="Gill Sans MT"/>
          <w:color w:val="FF0000"/>
          <w:sz w:val="28"/>
          <w:szCs w:val="22"/>
          <w:lang w:val="es-ES_tradnl"/>
        </w:rPr>
        <w:t>CIONES</w:t>
      </w:r>
      <w:bookmarkEnd w:id="5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6"/>
      </w:tblGrid>
      <w:tr w:rsidR="005842FF" w:rsidRPr="00253DFF" w14:paraId="51D39F1D" w14:textId="77777777" w:rsidTr="005A242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1B" w14:textId="77777777" w:rsidR="005842FF" w:rsidRPr="00253DFF" w:rsidRDefault="00527269" w:rsidP="00527269">
            <w:pPr>
              <w:spacing w:after="0" w:line="360" w:lineRule="auto"/>
              <w:rPr>
                <w:rFonts w:ascii="Gill Sans MT" w:hAnsi="Gill Sans MT"/>
                <w:color w:val="FF0000"/>
              </w:rPr>
            </w:pPr>
            <w:r w:rsidRPr="00253DFF">
              <w:rPr>
                <w:rFonts w:ascii="Gill Sans MT" w:hAnsi="Gill Sans MT"/>
                <w:color w:val="FF0000"/>
              </w:rPr>
              <w:t>Palabra</w:t>
            </w:r>
            <w:r w:rsidR="005842FF" w:rsidRPr="00253DFF">
              <w:rPr>
                <w:rFonts w:ascii="Gill Sans MT" w:hAnsi="Gill Sans MT"/>
                <w:color w:val="FF0000"/>
              </w:rPr>
              <w:t>/T</w:t>
            </w:r>
            <w:r w:rsidRPr="00253DFF">
              <w:rPr>
                <w:rFonts w:ascii="Gill Sans MT" w:hAnsi="Gill Sans MT"/>
                <w:color w:val="FF0000"/>
              </w:rPr>
              <w:t>érmino</w:t>
            </w:r>
          </w:p>
        </w:tc>
        <w:tc>
          <w:tcPr>
            <w:tcW w:w="6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1C" w14:textId="77777777" w:rsidR="005842FF" w:rsidRPr="00253DFF" w:rsidRDefault="005842FF" w:rsidP="00527269">
            <w:pPr>
              <w:spacing w:after="0" w:line="360" w:lineRule="auto"/>
              <w:rPr>
                <w:rFonts w:ascii="Gill Sans MT" w:hAnsi="Gill Sans MT"/>
                <w:color w:val="FF0000"/>
              </w:rPr>
            </w:pPr>
            <w:r w:rsidRPr="00253DFF">
              <w:rPr>
                <w:rFonts w:ascii="Gill Sans MT" w:hAnsi="Gill Sans MT"/>
                <w:color w:val="FF0000"/>
              </w:rPr>
              <w:t>D</w:t>
            </w:r>
            <w:r w:rsidR="00527269" w:rsidRPr="00253DFF">
              <w:rPr>
                <w:rFonts w:ascii="Gill Sans MT" w:hAnsi="Gill Sans MT"/>
                <w:color w:val="FF0000"/>
              </w:rPr>
              <w:t>efinición</w:t>
            </w:r>
          </w:p>
        </w:tc>
      </w:tr>
      <w:tr w:rsidR="005842FF" w:rsidRPr="00253DFF" w14:paraId="51D39F21" w14:textId="77777777" w:rsidTr="005A242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1E" w14:textId="77777777" w:rsidR="005842FF" w:rsidRPr="00253DFF" w:rsidRDefault="00527269" w:rsidP="00527269">
            <w:pPr>
              <w:rPr>
                <w:rFonts w:ascii="Gill Sans MT" w:hAnsi="Gill Sans MT"/>
                <w:b/>
              </w:rPr>
            </w:pPr>
            <w:r w:rsidRPr="00253DFF">
              <w:rPr>
                <w:rFonts w:ascii="Gill Sans MT" w:eastAsia="Times New Roman" w:hAnsi="Gill Sans MT" w:cs="Arial"/>
                <w:b/>
                <w:lang w:eastAsia="en-GB"/>
              </w:rPr>
              <w:lastRenderedPageBreak/>
              <w:t xml:space="preserve">Mala conducta </w:t>
            </w:r>
          </w:p>
        </w:tc>
        <w:tc>
          <w:tcPr>
            <w:tcW w:w="6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1F" w14:textId="77777777" w:rsidR="005842FF" w:rsidRPr="00253DFF" w:rsidRDefault="00527269" w:rsidP="005A2428">
            <w:pPr>
              <w:tabs>
                <w:tab w:val="left" w:pos="-1440"/>
                <w:tab w:val="left" w:pos="5742"/>
              </w:tabs>
              <w:spacing w:after="0"/>
              <w:jc w:val="both"/>
              <w:rPr>
                <w:rFonts w:ascii="Gill Sans MT" w:eastAsia="Times New Roman" w:hAnsi="Gill Sans MT" w:cs="Arial"/>
                <w:lang w:eastAsia="en-GB"/>
              </w:rPr>
            </w:pP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Es un incumplimiento del Código de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Conduct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a o de las políticas y procedimientos de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SCI.  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El gerente de línea tendrá que ejercer su sentido común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(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>con  apoyo de RRHH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) 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respecto de la gravedad de la supuesta mala conducta y </w:t>
            </w:r>
            <w:r w:rsidR="00712336">
              <w:rPr>
                <w:rFonts w:ascii="Gill Sans MT" w:eastAsia="Times New Roman" w:hAnsi="Gill Sans MT" w:cs="Arial"/>
                <w:lang w:eastAsia="en-GB"/>
              </w:rPr>
              <w:t>tendrá que ver s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>i puede ser resuelta por medio de una acción informal de asesoramiento o si es necesario comenzar con procedimientos formales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.</w:t>
            </w:r>
          </w:p>
          <w:p w14:paraId="51D39F20" w14:textId="77777777" w:rsidR="005A2428" w:rsidRPr="00253DFF" w:rsidRDefault="005A2428" w:rsidP="005A2428">
            <w:pPr>
              <w:tabs>
                <w:tab w:val="left" w:pos="-1440"/>
                <w:tab w:val="left" w:pos="5742"/>
              </w:tabs>
              <w:spacing w:after="0"/>
              <w:jc w:val="both"/>
              <w:rPr>
                <w:rFonts w:ascii="Gill Sans MT" w:eastAsia="Times New Roman" w:hAnsi="Gill Sans MT" w:cs="Arial"/>
                <w:lang w:eastAsia="en-GB"/>
              </w:rPr>
            </w:pPr>
          </w:p>
        </w:tc>
      </w:tr>
      <w:tr w:rsidR="005842FF" w:rsidRPr="00253DFF" w14:paraId="51D39F27" w14:textId="77777777" w:rsidTr="005A242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22" w14:textId="77777777" w:rsidR="005842FF" w:rsidRPr="00253DFF" w:rsidRDefault="00527269" w:rsidP="00527269">
            <w:pPr>
              <w:rPr>
                <w:rFonts w:ascii="Gill Sans MT" w:hAnsi="Gill Sans MT"/>
                <w:b/>
              </w:rPr>
            </w:pPr>
            <w:r w:rsidRPr="00253DFF">
              <w:rPr>
                <w:rFonts w:ascii="Gill Sans MT" w:eastAsia="Times New Roman" w:hAnsi="Gill Sans MT" w:cs="Arial"/>
                <w:b/>
                <w:lang w:eastAsia="en-GB"/>
              </w:rPr>
              <w:t>Mala conducta grave</w:t>
            </w:r>
          </w:p>
        </w:tc>
        <w:tc>
          <w:tcPr>
            <w:tcW w:w="6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23" w14:textId="77777777" w:rsidR="005842FF" w:rsidRPr="00253DFF" w:rsidRDefault="00527269" w:rsidP="00F43ED2">
            <w:pPr>
              <w:tabs>
                <w:tab w:val="left" w:pos="-1440"/>
              </w:tabs>
              <w:spacing w:after="0"/>
              <w:jc w:val="both"/>
              <w:rPr>
                <w:rFonts w:ascii="Gill Sans MT" w:eastAsia="Times New Roman" w:hAnsi="Gill Sans MT" w:cs="Arial"/>
                <w:lang w:eastAsia="en-GB"/>
              </w:rPr>
            </w:pPr>
            <w:r w:rsidRPr="00253DFF">
              <w:rPr>
                <w:rFonts w:ascii="Gill Sans MT" w:eastAsia="Times New Roman" w:hAnsi="Gill Sans MT" w:cs="Arial"/>
                <w:lang w:eastAsia="en-GB"/>
              </w:rPr>
              <w:t>Algunos actos, que se conocen como mala conducta grave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, 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>son tan graves o tienen consecuencias tan graves que pueden justificar el despido sin</w:t>
            </w:r>
            <w:r w:rsidR="00F43ED2" w:rsidRPr="00253DFF">
              <w:rPr>
                <w:rFonts w:ascii="Gill Sans MT" w:eastAsia="Times New Roman" w:hAnsi="Gill Sans MT" w:cs="Arial"/>
                <w:lang w:eastAsia="en-GB"/>
              </w:rPr>
              <w:t xml:space="preserve"> ningún tipo de aviso por primera infracción. Esto podría ser en caso de una infracción grave del Código de Conducta, robo, fraude, violencia, negligencia grave o un caso de insubordinación grave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(</w:t>
            </w:r>
            <w:r w:rsidR="00F43ED2" w:rsidRPr="00253DFF">
              <w:rPr>
                <w:rFonts w:ascii="Gill Sans MT" w:eastAsia="Times New Roman" w:hAnsi="Gill Sans MT" w:cs="Arial"/>
                <w:lang w:eastAsia="en-GB"/>
              </w:rPr>
              <w:t>esta lista no es completa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).  </w:t>
            </w:r>
          </w:p>
          <w:p w14:paraId="51D39F24" w14:textId="77777777" w:rsidR="005842FF" w:rsidRPr="00253DFF" w:rsidRDefault="005842FF" w:rsidP="005A2428">
            <w:pPr>
              <w:tabs>
                <w:tab w:val="left" w:pos="-1440"/>
              </w:tabs>
              <w:spacing w:after="0"/>
              <w:jc w:val="both"/>
              <w:rPr>
                <w:rFonts w:ascii="Gill Sans MT" w:eastAsia="Times New Roman" w:hAnsi="Gill Sans MT" w:cs="Arial"/>
                <w:lang w:eastAsia="en-GB"/>
              </w:rPr>
            </w:pPr>
          </w:p>
          <w:p w14:paraId="51D39F25" w14:textId="77777777" w:rsidR="005842FF" w:rsidRPr="00253DFF" w:rsidRDefault="00F43ED2" w:rsidP="00F43ED2">
            <w:pPr>
              <w:tabs>
                <w:tab w:val="left" w:pos="-1440"/>
              </w:tabs>
              <w:spacing w:after="0"/>
              <w:jc w:val="both"/>
              <w:rPr>
                <w:rFonts w:ascii="Gill Sans MT" w:eastAsia="Times New Roman" w:hAnsi="Gill Sans MT" w:cs="Arial"/>
                <w:lang w:eastAsia="en-GB"/>
              </w:rPr>
            </w:pPr>
            <w:r w:rsidRPr="00253DFF">
              <w:rPr>
                <w:rFonts w:ascii="Gill Sans MT" w:eastAsia="Times New Roman" w:hAnsi="Gill Sans MT" w:cs="Arial"/>
                <w:lang w:eastAsia="en-GB"/>
              </w:rPr>
              <w:t>Las alegaciones de mala conducta grave normalmente requerirán la suspensión inmediata hasta que termine la investigación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.  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La suspensión no es una acción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disciplinar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>ia en sí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, 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>y el empleado siempre seguirá recibiendo su salario y beneficios completos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 xml:space="preserve">.  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En caso de comprobarse la mala conducta grave, normalmente se procederá con el despido sumario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(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 xml:space="preserve">es decir, despido sin previo aviso) luego de la audiencia 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disciplinar</w:t>
            </w:r>
            <w:r w:rsidRPr="00253DFF">
              <w:rPr>
                <w:rFonts w:ascii="Gill Sans MT" w:eastAsia="Times New Roman" w:hAnsi="Gill Sans MT" w:cs="Arial"/>
                <w:lang w:eastAsia="en-GB"/>
              </w:rPr>
              <w:t>ia; siempre se tiene que seguir un proceso justo de despido antes de despedir a un empleado por mala conducta grave</w:t>
            </w:r>
            <w:r w:rsidR="005842FF" w:rsidRPr="00253DFF">
              <w:rPr>
                <w:rFonts w:ascii="Gill Sans MT" w:eastAsia="Times New Roman" w:hAnsi="Gill Sans MT" w:cs="Arial"/>
                <w:lang w:eastAsia="en-GB"/>
              </w:rPr>
              <w:t>.</w:t>
            </w:r>
          </w:p>
          <w:p w14:paraId="51D39F26" w14:textId="77777777" w:rsidR="005A2428" w:rsidRPr="00253DFF" w:rsidRDefault="005A2428" w:rsidP="005A2428">
            <w:pPr>
              <w:tabs>
                <w:tab w:val="left" w:pos="-1440"/>
              </w:tabs>
              <w:spacing w:after="0"/>
              <w:jc w:val="both"/>
              <w:rPr>
                <w:rFonts w:ascii="Gill Sans MT" w:eastAsia="Times New Roman" w:hAnsi="Gill Sans MT" w:cs="Arial"/>
                <w:lang w:eastAsia="en-GB"/>
              </w:rPr>
            </w:pPr>
          </w:p>
        </w:tc>
      </w:tr>
    </w:tbl>
    <w:p w14:paraId="51D39F28" w14:textId="77777777" w:rsidR="005842FF" w:rsidRPr="00253DFF" w:rsidRDefault="005842FF" w:rsidP="005842FF">
      <w:pPr>
        <w:pStyle w:val="Heading2"/>
        <w:rPr>
          <w:rFonts w:ascii="Gill Sans MT" w:eastAsia="Calibri" w:hAnsi="Gill Sans MT"/>
          <w:b w:val="0"/>
          <w:bCs w:val="0"/>
          <w:caps w:val="0"/>
          <w:sz w:val="22"/>
          <w:szCs w:val="22"/>
          <w:lang w:val="es-ES_tradnl"/>
        </w:rPr>
      </w:pPr>
      <w:bookmarkStart w:id="7" w:name="_Toc300753014"/>
      <w:bookmarkStart w:id="8" w:name="_Toc338159538"/>
    </w:p>
    <w:p w14:paraId="51D39F29" w14:textId="77777777" w:rsidR="005842FF" w:rsidRPr="00253DFF" w:rsidRDefault="005842FF" w:rsidP="005A2428">
      <w:pPr>
        <w:pStyle w:val="Heading2"/>
        <w:spacing w:line="360" w:lineRule="auto"/>
        <w:rPr>
          <w:rFonts w:ascii="Gill Sans MT" w:hAnsi="Gill Sans MT"/>
          <w:color w:val="FF0000"/>
          <w:sz w:val="28"/>
          <w:szCs w:val="22"/>
          <w:lang w:val="es-ES_tradnl"/>
        </w:rPr>
      </w:pPr>
      <w:r w:rsidRPr="00253DFF">
        <w:rPr>
          <w:rFonts w:ascii="Gill Sans MT" w:hAnsi="Gill Sans MT"/>
          <w:color w:val="FF0000"/>
          <w:sz w:val="28"/>
          <w:szCs w:val="22"/>
          <w:lang w:val="es-ES_tradnl"/>
        </w:rPr>
        <w:t xml:space="preserve">3.2 </w:t>
      </w:r>
      <w:r w:rsidR="00246B84" w:rsidRPr="00253DFF">
        <w:rPr>
          <w:rFonts w:ascii="Gill Sans MT" w:hAnsi="Gill Sans MT"/>
          <w:color w:val="FF0000"/>
          <w:sz w:val="28"/>
          <w:szCs w:val="22"/>
          <w:lang w:val="es-ES_tradnl"/>
        </w:rPr>
        <w:t>DOCUMENTACIÓN RELACIONADA/DE APOYO</w:t>
      </w:r>
      <w:bookmarkEnd w:id="7"/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5842FF" w:rsidRPr="00253DFF" w14:paraId="51D39F2B" w14:textId="77777777" w:rsidTr="005A2428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39F2A" w14:textId="77777777" w:rsidR="005842FF" w:rsidRPr="00253DFF" w:rsidRDefault="00246B84" w:rsidP="005A2428">
            <w:pPr>
              <w:spacing w:after="0" w:line="360" w:lineRule="auto"/>
              <w:rPr>
                <w:rFonts w:ascii="Gill Sans MT" w:hAnsi="Gill Sans MT"/>
                <w:color w:val="FF0000"/>
              </w:rPr>
            </w:pPr>
            <w:r w:rsidRPr="00253DFF">
              <w:rPr>
                <w:rFonts w:ascii="Gill Sans MT" w:hAnsi="Gill Sans MT"/>
                <w:color w:val="FF0000"/>
              </w:rPr>
              <w:t>Vínculos a Documentación de Apoyo</w:t>
            </w:r>
          </w:p>
        </w:tc>
      </w:tr>
      <w:tr w:rsidR="005842FF" w:rsidRPr="00253DFF" w14:paraId="51D39F2E" w14:textId="77777777" w:rsidTr="005A242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2C" w14:textId="77777777" w:rsidR="005842FF" w:rsidRPr="00253DFF" w:rsidRDefault="005842FF" w:rsidP="005A2428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>1.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2D" w14:textId="77777777" w:rsidR="005842FF" w:rsidRPr="00253DFF" w:rsidRDefault="00F43ED2" w:rsidP="00F43ED2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Procedimientos disciplinarios de </w:t>
            </w:r>
            <w:r w:rsidR="005842FF" w:rsidRPr="00253DFF">
              <w:rPr>
                <w:rFonts w:ascii="Gill Sans MT" w:hAnsi="Gill Sans MT"/>
              </w:rPr>
              <w:t xml:space="preserve">SCI </w:t>
            </w:r>
          </w:p>
        </w:tc>
      </w:tr>
      <w:tr w:rsidR="005842FF" w:rsidRPr="00253DFF" w14:paraId="51D39F31" w14:textId="77777777" w:rsidTr="005A242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2F" w14:textId="77777777" w:rsidR="005842FF" w:rsidRPr="00253DFF" w:rsidRDefault="005842FF" w:rsidP="005A2428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>2.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30" w14:textId="77777777" w:rsidR="005842FF" w:rsidRPr="00253DFF" w:rsidRDefault="00F43ED2" w:rsidP="00F43ED2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 xml:space="preserve">Políticas y procedimientos de reclamos de </w:t>
            </w:r>
            <w:r w:rsidR="005842FF" w:rsidRPr="00253DFF">
              <w:rPr>
                <w:rFonts w:ascii="Gill Sans MT" w:hAnsi="Gill Sans MT"/>
              </w:rPr>
              <w:t xml:space="preserve">SCI </w:t>
            </w:r>
          </w:p>
        </w:tc>
      </w:tr>
      <w:tr w:rsidR="005842FF" w:rsidRPr="00253DFF" w14:paraId="51D39F34" w14:textId="77777777" w:rsidTr="005A242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32" w14:textId="77777777" w:rsidR="005842FF" w:rsidRPr="00253DFF" w:rsidRDefault="005842FF" w:rsidP="005A2428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>3.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9F33" w14:textId="77777777" w:rsidR="005842FF" w:rsidRPr="00253DFF" w:rsidRDefault="00F43ED2" w:rsidP="00712336">
            <w:pPr>
              <w:jc w:val="both"/>
              <w:rPr>
                <w:rFonts w:ascii="Gill Sans MT" w:hAnsi="Gill Sans MT"/>
              </w:rPr>
            </w:pPr>
            <w:r w:rsidRPr="00253DFF">
              <w:rPr>
                <w:rFonts w:ascii="Gill Sans MT" w:hAnsi="Gill Sans MT"/>
              </w:rPr>
              <w:t>Código de Práctica</w:t>
            </w:r>
            <w:r w:rsidR="00712336">
              <w:rPr>
                <w:rFonts w:ascii="Gill Sans MT" w:hAnsi="Gill Sans MT"/>
              </w:rPr>
              <w:t>s</w:t>
            </w:r>
            <w:r w:rsidRPr="00253DFF">
              <w:rPr>
                <w:rFonts w:ascii="Gill Sans MT" w:hAnsi="Gill Sans MT"/>
              </w:rPr>
              <w:t xml:space="preserve"> de </w:t>
            </w:r>
            <w:r w:rsidR="005842FF" w:rsidRPr="00253DFF">
              <w:rPr>
                <w:rFonts w:ascii="Gill Sans MT" w:hAnsi="Gill Sans MT"/>
              </w:rPr>
              <w:t xml:space="preserve">ACAS: </w:t>
            </w:r>
            <w:r w:rsidRPr="00253DFF">
              <w:rPr>
                <w:rFonts w:ascii="Gill Sans MT" w:hAnsi="Gill Sans MT"/>
              </w:rPr>
              <w:t>procedimientos disciplinarios y de reclamo</w:t>
            </w:r>
            <w:r w:rsidR="005842FF" w:rsidRPr="00253DFF">
              <w:rPr>
                <w:rFonts w:ascii="Gill Sans MT" w:hAnsi="Gill Sans MT"/>
              </w:rPr>
              <w:t xml:space="preserve">.  (ACAS </w:t>
            </w:r>
            <w:r w:rsidRPr="00253DFF">
              <w:rPr>
                <w:rFonts w:ascii="Gill Sans MT" w:hAnsi="Gill Sans MT"/>
              </w:rPr>
              <w:t>es el Servicio de Arbitraje, Conciliación y Asesoramiento en el RU que define la norma de acuerdo con la cual se espera que los empleadores implement</w:t>
            </w:r>
            <w:r w:rsidR="00712336">
              <w:rPr>
                <w:rFonts w:ascii="Gill Sans MT" w:hAnsi="Gill Sans MT"/>
              </w:rPr>
              <w:t>e</w:t>
            </w:r>
            <w:r w:rsidRPr="00253DFF">
              <w:rPr>
                <w:rFonts w:ascii="Gill Sans MT" w:hAnsi="Gill Sans MT"/>
              </w:rPr>
              <w:t>n políticas y procedimientos disciplinarios</w:t>
            </w:r>
            <w:r w:rsidR="005842FF" w:rsidRPr="00253DFF">
              <w:rPr>
                <w:rFonts w:ascii="Gill Sans MT" w:hAnsi="Gill Sans MT"/>
              </w:rPr>
              <w:t xml:space="preserve">.  </w:t>
            </w:r>
            <w:r w:rsidRPr="00253DFF">
              <w:rPr>
                <w:rFonts w:ascii="Gill Sans MT" w:hAnsi="Gill Sans MT"/>
              </w:rPr>
              <w:t xml:space="preserve">El Código </w:t>
            </w:r>
            <w:r w:rsidR="005842FF" w:rsidRPr="00253DFF">
              <w:rPr>
                <w:rFonts w:ascii="Gill Sans MT" w:hAnsi="Gill Sans MT"/>
              </w:rPr>
              <w:t xml:space="preserve">ACAS </w:t>
            </w:r>
            <w:r w:rsidRPr="00253DFF">
              <w:rPr>
                <w:rFonts w:ascii="Gill Sans MT" w:hAnsi="Gill Sans MT"/>
              </w:rPr>
              <w:t xml:space="preserve">es tomado en cuenta por los Tribunales Laborales y por lo tanto, es una norma importante tomada en cuenta por </w:t>
            </w:r>
            <w:r w:rsidR="005842FF" w:rsidRPr="00253DFF">
              <w:rPr>
                <w:rFonts w:ascii="Gill Sans MT" w:hAnsi="Gill Sans MT"/>
              </w:rPr>
              <w:t xml:space="preserve">SCI </w:t>
            </w:r>
            <w:r w:rsidRPr="00253DFF">
              <w:rPr>
                <w:rFonts w:ascii="Gill Sans MT" w:hAnsi="Gill Sans MT"/>
              </w:rPr>
              <w:t>al elaborar sus políticas y procedimientos disciplinarios</w:t>
            </w:r>
            <w:r w:rsidR="005842FF" w:rsidRPr="00253DFF">
              <w:rPr>
                <w:rFonts w:ascii="Gill Sans MT" w:hAnsi="Gill Sans MT"/>
              </w:rPr>
              <w:t xml:space="preserve">. </w:t>
            </w:r>
            <w:r w:rsidRPr="00253DFF">
              <w:rPr>
                <w:rFonts w:ascii="Gill Sans MT" w:hAnsi="Gill Sans MT"/>
              </w:rPr>
              <w:t xml:space="preserve">En caso de existir </w:t>
            </w:r>
            <w:r w:rsidR="00883F04" w:rsidRPr="00253DFF">
              <w:rPr>
                <w:rFonts w:ascii="Gill Sans MT" w:hAnsi="Gill Sans MT"/>
              </w:rPr>
              <w:t xml:space="preserve">otras normas similares en las  diferentes jurisdicciones donde opera </w:t>
            </w:r>
            <w:r w:rsidR="005842FF" w:rsidRPr="00253DFF">
              <w:rPr>
                <w:rFonts w:ascii="Gill Sans MT" w:hAnsi="Gill Sans MT"/>
              </w:rPr>
              <w:t>SCI,</w:t>
            </w:r>
            <w:r w:rsidR="00883F04" w:rsidRPr="00253DFF">
              <w:rPr>
                <w:rFonts w:ascii="Gill Sans MT" w:hAnsi="Gill Sans MT"/>
              </w:rPr>
              <w:t xml:space="preserve"> también hay que tomarlas en cuenta al aplicar esta política y al elaborar procedimientos locales</w:t>
            </w:r>
            <w:r w:rsidR="005842FF" w:rsidRPr="00253DFF">
              <w:rPr>
                <w:rFonts w:ascii="Gill Sans MT" w:hAnsi="Gill Sans MT"/>
              </w:rPr>
              <w:t>.</w:t>
            </w:r>
          </w:p>
        </w:tc>
      </w:tr>
    </w:tbl>
    <w:p w14:paraId="51D39F35" w14:textId="77777777" w:rsidR="005842FF" w:rsidRPr="00253DFF" w:rsidRDefault="005842FF" w:rsidP="005842FF">
      <w:pPr>
        <w:pStyle w:val="Heading1"/>
        <w:rPr>
          <w:rFonts w:ascii="Gill Sans MT" w:hAnsi="Gill Sans MT"/>
          <w:sz w:val="22"/>
          <w:szCs w:val="22"/>
          <w:lang w:val="es-ES_tradnl"/>
        </w:rPr>
      </w:pPr>
      <w:bookmarkStart w:id="9" w:name="_Toc300753017"/>
      <w:bookmarkStart w:id="10" w:name="_Toc338159541"/>
    </w:p>
    <w:p w14:paraId="51D39F36" w14:textId="77777777" w:rsidR="005842FF" w:rsidRPr="00253DFF" w:rsidRDefault="005842FF" w:rsidP="005842FF">
      <w:pPr>
        <w:pStyle w:val="Heading1"/>
        <w:rPr>
          <w:rFonts w:ascii="Gill Sans MT" w:hAnsi="Gill Sans MT"/>
          <w:sz w:val="22"/>
          <w:szCs w:val="22"/>
          <w:lang w:val="es-ES_tradnl"/>
        </w:rPr>
      </w:pPr>
    </w:p>
    <w:bookmarkEnd w:id="9"/>
    <w:bookmarkEnd w:id="10"/>
    <w:p w14:paraId="51D39F37" w14:textId="77777777" w:rsidR="00E24D08" w:rsidRPr="00253DFF" w:rsidRDefault="00E24D08" w:rsidP="00DE4CAE">
      <w:pPr>
        <w:spacing w:after="0" w:line="240" w:lineRule="auto"/>
        <w:jc w:val="right"/>
      </w:pPr>
    </w:p>
    <w:sectPr w:rsidR="00E24D08" w:rsidRPr="00253DF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9F3C" w14:textId="77777777" w:rsidR="008F1BB3" w:rsidRDefault="008F1BB3" w:rsidP="00B623F4">
      <w:pPr>
        <w:spacing w:after="0" w:line="240" w:lineRule="auto"/>
      </w:pPr>
      <w:r>
        <w:separator/>
      </w:r>
    </w:p>
  </w:endnote>
  <w:endnote w:type="continuationSeparator" w:id="0">
    <w:p w14:paraId="51D39F3D" w14:textId="77777777" w:rsidR="008F1BB3" w:rsidRDefault="008F1BB3" w:rsidP="00B6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z w:val="20"/>
        <w:szCs w:val="20"/>
      </w:rPr>
      <w:id w:val="-113964707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D39F3E" w14:textId="77777777" w:rsidR="00E86552" w:rsidRDefault="00E86552">
            <w:pPr>
              <w:pStyle w:val="Footer"/>
              <w:jc w:val="right"/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7"/>
              <w:gridCol w:w="4567"/>
            </w:tblGrid>
            <w:tr w:rsidR="00E86552" w14:paraId="51D39F41" w14:textId="77777777" w:rsidTr="00E86552">
              <w:tc>
                <w:tcPr>
                  <w:tcW w:w="4567" w:type="dxa"/>
                  <w:vAlign w:val="bottom"/>
                </w:tcPr>
                <w:p w14:paraId="51D39F3F" w14:textId="77777777" w:rsidR="00E86552" w:rsidRPr="00246B84" w:rsidRDefault="00246B84" w:rsidP="00E86552">
                  <w:pPr>
                    <w:pStyle w:val="Footer"/>
                    <w:rPr>
                      <w:sz w:val="14"/>
                      <w:szCs w:val="12"/>
                      <w:lang w:val="es-ES"/>
                    </w:rPr>
                  </w:pPr>
                  <w:r w:rsidRPr="00246B84">
                    <w:rPr>
                      <w:sz w:val="14"/>
                      <w:szCs w:val="12"/>
                      <w:lang w:val="es-ES"/>
                    </w:rPr>
                    <w:t>Por favor, verifique en OneNet si tiene la versión vigente de este documento</w:t>
                  </w:r>
                </w:p>
              </w:tc>
              <w:tc>
                <w:tcPr>
                  <w:tcW w:w="4567" w:type="dxa"/>
                </w:tcPr>
                <w:p w14:paraId="51D39F40" w14:textId="329BE575" w:rsidR="00E86552" w:rsidRDefault="00660140" w:rsidP="00660140">
                  <w:pPr>
                    <w:pStyle w:val="Footer"/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Página </w:t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00ABF">
                    <w:rPr>
                      <w:rFonts w:ascii="Gill Sans MT" w:hAnsi="Gill Sans MT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E86552" w:rsidRPr="00B623F4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de</w:t>
                  </w:r>
                  <w:r w:rsidR="00E86552" w:rsidRPr="00B623F4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00ABF">
                    <w:rPr>
                      <w:rFonts w:ascii="Gill Sans MT" w:hAnsi="Gill Sans MT"/>
                      <w:b/>
                      <w:bCs/>
                      <w:noProof/>
                      <w:sz w:val="20"/>
                      <w:szCs w:val="20"/>
                    </w:rPr>
                    <w:t>4</w:t>
                  </w:r>
                  <w:r w:rsidR="00E86552" w:rsidRPr="00B623F4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1D39F42" w14:textId="77777777" w:rsidR="00B623F4" w:rsidRPr="00B623F4" w:rsidRDefault="00900ABF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sdtContent>
      </w:sdt>
    </w:sdtContent>
  </w:sdt>
  <w:p w14:paraId="51D39F43" w14:textId="77777777" w:rsidR="00B623F4" w:rsidRDefault="00B6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9F3A" w14:textId="77777777" w:rsidR="008F1BB3" w:rsidRDefault="008F1BB3" w:rsidP="00B623F4">
      <w:pPr>
        <w:spacing w:after="0" w:line="240" w:lineRule="auto"/>
      </w:pPr>
      <w:r>
        <w:separator/>
      </w:r>
    </w:p>
  </w:footnote>
  <w:footnote w:type="continuationSeparator" w:id="0">
    <w:p w14:paraId="51D39F3B" w14:textId="77777777" w:rsidR="008F1BB3" w:rsidRDefault="008F1BB3" w:rsidP="00B6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1E"/>
    <w:multiLevelType w:val="hybridMultilevel"/>
    <w:tmpl w:val="BA9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90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1D0"/>
    <w:multiLevelType w:val="hybridMultilevel"/>
    <w:tmpl w:val="03EE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90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C7B"/>
    <w:multiLevelType w:val="multilevel"/>
    <w:tmpl w:val="FBBACF06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eastAsia="Times New Roman" w:hAnsi="Gill Sans MT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ill Sans MT" w:eastAsia="Times New Roman" w:hAnsi="Gill Sans MT" w:hint="default"/>
        <w:b/>
        <w:color w:val="FF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eastAsia="Times New Roman" w:hAnsi="Gill Sans MT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ill Sans MT" w:eastAsia="Times New Roman" w:hAnsi="Gill Sans MT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ill Sans MT" w:eastAsia="Times New Roman" w:hAnsi="Gill Sans MT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ill Sans MT" w:eastAsia="Times New Roman" w:hAnsi="Gill Sans MT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ill Sans MT" w:eastAsia="Times New Roman" w:hAnsi="Gill Sans MT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ill Sans MT" w:eastAsia="Times New Roman" w:hAnsi="Gill Sans MT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ill Sans MT" w:eastAsia="Times New Roman" w:hAnsi="Gill Sans MT" w:hint="default"/>
        <w:b/>
        <w:color w:val="auto"/>
        <w:sz w:val="22"/>
      </w:rPr>
    </w:lvl>
  </w:abstractNum>
  <w:abstractNum w:abstractNumId="3" w15:restartNumberingAfterBreak="0">
    <w:nsid w:val="3AEB131B"/>
    <w:multiLevelType w:val="hybridMultilevel"/>
    <w:tmpl w:val="ED0C9128"/>
    <w:lvl w:ilvl="0" w:tplc="4CE4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1E"/>
    <w:rsid w:val="00022199"/>
    <w:rsid w:val="000C53F9"/>
    <w:rsid w:val="00242031"/>
    <w:rsid w:val="00246B84"/>
    <w:rsid w:val="00253DFF"/>
    <w:rsid w:val="002A5BDA"/>
    <w:rsid w:val="002B5FDA"/>
    <w:rsid w:val="003011DC"/>
    <w:rsid w:val="003915B1"/>
    <w:rsid w:val="003B34B8"/>
    <w:rsid w:val="004951D3"/>
    <w:rsid w:val="005232DC"/>
    <w:rsid w:val="00527269"/>
    <w:rsid w:val="005842FF"/>
    <w:rsid w:val="005A2428"/>
    <w:rsid w:val="00660140"/>
    <w:rsid w:val="006B1587"/>
    <w:rsid w:val="00712336"/>
    <w:rsid w:val="00742C2D"/>
    <w:rsid w:val="007A3345"/>
    <w:rsid w:val="007B6DAE"/>
    <w:rsid w:val="0084538B"/>
    <w:rsid w:val="00883F04"/>
    <w:rsid w:val="008A1B39"/>
    <w:rsid w:val="008F1BB3"/>
    <w:rsid w:val="00900ABF"/>
    <w:rsid w:val="009B0D1E"/>
    <w:rsid w:val="00A260DE"/>
    <w:rsid w:val="00B623F4"/>
    <w:rsid w:val="00BA189B"/>
    <w:rsid w:val="00C35947"/>
    <w:rsid w:val="00CC4EB3"/>
    <w:rsid w:val="00D63585"/>
    <w:rsid w:val="00D775AD"/>
    <w:rsid w:val="00DE4CAE"/>
    <w:rsid w:val="00DF7680"/>
    <w:rsid w:val="00E24D08"/>
    <w:rsid w:val="00E82681"/>
    <w:rsid w:val="00E86552"/>
    <w:rsid w:val="00EB0058"/>
    <w:rsid w:val="00F31466"/>
    <w:rsid w:val="00F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9EDA"/>
  <w15:docId w15:val="{667A2A02-603B-4F58-AEE1-818D982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842FF"/>
    <w:pPr>
      <w:keepNext/>
      <w:keepLines/>
      <w:spacing w:before="40" w:after="40" w:line="260" w:lineRule="exact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2FF"/>
    <w:pPr>
      <w:keepNext/>
      <w:keepLines/>
      <w:spacing w:before="40" w:after="120" w:line="260" w:lineRule="exact"/>
      <w:contextualSpacing/>
      <w:outlineLvl w:val="1"/>
    </w:pPr>
    <w:rPr>
      <w:rFonts w:ascii="Arial" w:eastAsia="Times New Roman" w:hAnsi="Arial"/>
      <w:b/>
      <w:bCs/>
      <w:cap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F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42FF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842FF"/>
    <w:rPr>
      <w:rFonts w:ascii="Arial" w:eastAsia="Times New Roman" w:hAnsi="Arial"/>
      <w:b/>
      <w:bCs/>
      <w:cap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84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761A9592D5FDD24D89BADDEDD18BEEAE0500273E8418C255324AB0BF0CDC557C6F14" ma:contentTypeVersion="47" ma:contentTypeDescription="" ma:contentTypeScope="" ma:versionID="56331d93f07f91af2cc65321caf5e3c2">
  <xsd:schema xmlns:xsd="http://www.w3.org/2001/XMLSchema" xmlns:xs="http://www.w3.org/2001/XMLSchema" xmlns:p="http://schemas.microsoft.com/office/2006/metadata/properties" xmlns:ns1="http://schemas.microsoft.com/sharepoint/v3" xmlns:ns2="de2d85a7-12de-4554-87be-39fa92a90001" xmlns:ns3="b1a25d56-6f3d-4cf9-8f75-af00573b6dbd" xmlns:ns4="2132dbb9-34a0-4564-9180-ba07c5447edb" targetNamespace="http://schemas.microsoft.com/office/2006/metadata/properties" ma:root="true" ma:fieldsID="03398f2d257e4773735083c020b2d052" ns1:_="" ns2:_="" ns3:_="" ns4:_="">
    <xsd:import namespace="http://schemas.microsoft.com/sharepoint/v3"/>
    <xsd:import namespace="de2d85a7-12de-4554-87be-39fa92a90001"/>
    <xsd:import namespace="b1a25d56-6f3d-4cf9-8f75-af00573b6dbd"/>
    <xsd:import namespace="2132dbb9-34a0-4564-9180-ba07c5447edb"/>
    <xsd:element name="properties">
      <xsd:complexType>
        <xsd:sequence>
          <xsd:element name="documentManagement">
            <xsd:complexType>
              <xsd:all>
                <xsd:element ref="ns2:SCIDescription" minOccurs="0"/>
                <xsd:element ref="ns2:DocVersion" minOccurs="0"/>
                <xsd:element ref="ns2:Document_x0020_Author" minOccurs="0"/>
                <xsd:element ref="ns2:Approver" minOccurs="0"/>
                <xsd:element ref="ns2:QFApproverPosition" minOccurs="0"/>
                <xsd:element ref="ns2:QFOwner" minOccurs="0"/>
                <xsd:element ref="ns2:QFOwnerPosition" minOccurs="0"/>
                <xsd:element ref="ns2:Review_x0020_Date"/>
                <xsd:element ref="ns2:dcd24c1d0af14decaba324e805cae077" minOccurs="0"/>
                <xsd:element ref="ns3:TaxCatchAll" minOccurs="0"/>
                <xsd:element ref="ns3:TaxCatchAllLabel" minOccurs="0"/>
                <xsd:element ref="ns2:a34b654bcbef4493987a75a48b21d05e" minOccurs="0"/>
                <xsd:element ref="ns1:RelatedItems" minOccurs="0"/>
                <xsd:element ref="ns2:SCITaxLanguageTaxHTFiel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22" nillable="true" ma:displayName="Related Items" ma:hidden="true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Description" ma:index="2" nillable="true" ma:displayName="Description" ma:internalName="SCIDescription" ma:readOnly="false">
      <xsd:simpleType>
        <xsd:restriction base="dms:Note">
          <xsd:maxLength value="255"/>
        </xsd:restriction>
      </xsd:simpleType>
    </xsd:element>
    <xsd:element name="DocVersion" ma:index="4" nillable="true" ma:displayName="DocVersion" ma:decimals="1" ma:internalName="DocVersion" ma:readOnly="false" ma:percentage="FALSE">
      <xsd:simpleType>
        <xsd:restriction base="dms:Number"/>
      </xsd:simpleType>
    </xsd:element>
    <xsd:element name="Document_x0020_Author" ma:index="6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7" nillable="true" ma:displayName="Approved by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ApproverPosition" ma:index="8" nillable="true" ma:displayName="QFApproverPosition" ma:internalName="QFApproverPosition">
      <xsd:simpleType>
        <xsd:restriction base="dms:Text">
          <xsd:maxLength value="255"/>
        </xsd:restriction>
      </xsd:simpleType>
    </xsd:element>
    <xsd:element name="QFOwner" ma:index="9" nillable="true" ma:displayName="QFOwner" ma:list="UserInfo" ma:SharePointGroup="0" ma:internalName="QF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OwnerPosition" ma:index="10" nillable="true" ma:displayName="QFOwnerPosition" ma:internalName="QFOwnerPosition">
      <xsd:simpleType>
        <xsd:restriction base="dms:Text">
          <xsd:maxLength value="255"/>
        </xsd:restriction>
      </xsd:simpleType>
    </xsd:element>
    <xsd:element name="Review_x0020_Date" ma:index="11" ma:displayName="Date for Review" ma:format="DateOnly" ma:internalName="Review_x0020_Date" ma:readOnly="false">
      <xsd:simpleType>
        <xsd:restriction base="dms:DateTime"/>
      </xsd:simpleType>
    </xsd:element>
    <xsd:element name="dcd24c1d0af14decaba324e805cae077" ma:index="16" ma:taxonomy="true" ma:internalName="dcd24c1d0af14decaba324e805cae077" ma:taxonomyFieldName="Quality_x0020_Framework_x0020_Category" ma:displayName="Function" ma:readOnly="false" ma:default="" ma:fieldId="{dcd24c1d-0af1-4dec-aba3-24e805cae077}" ma:sspId="b23ec234-cbf3-4cc2-a0ae-2bfafc310c72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4b654bcbef4493987a75a48b21d05e" ma:index="21" nillable="true" ma:taxonomy="true" ma:internalName="a34b654bcbef4493987a75a48b21d05e" ma:taxonomyFieldName="QFFunction" ma:displayName="QFSubCategory" ma:readOnly="false" ma:default="" ma:fieldId="{a34b654b-cbef-4493-987a-75a48b21d05e}" ma:taxonomyMulti="true" ma:sspId="b23ec234-cbf3-4cc2-a0ae-2bfafc310c72" ma:termSetId="a36fd941-a1da-4b03-afa5-59389b542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3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9328cd-565c-489b-9122-0af3a81b3bbb}" ma:internalName="TaxCatchAll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b39328cd-565c-489b-9122-0af3a81b3bbb}" ma:internalName="TaxCatchAllLabel" ma:readOnly="tru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dbb9-34a0-4564-9180-ba07c5447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Items xmlns="http://schemas.microsoft.com/sharepoint/v3" xsi:nil="true"/>
    <dcd24c1d0af14decaba324e805cae077 xmlns="de2d85a7-12de-4554-87be-39fa92a900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＆ Organisation</TermName>
          <TermId xmlns="http://schemas.microsoft.com/office/infopath/2007/PartnerControls">5647b4f5-6444-4650-bcb9-c95cf39d9d7b</TermId>
        </TermInfo>
      </Terms>
    </dcd24c1d0af14decaba324e805cae077>
    <TaxCatchAll xmlns="b1a25d56-6f3d-4cf9-8f75-af00573b6dbd">
      <Value>53</Value>
      <Value>1989</Value>
    </TaxCatchAll>
    <Document_x0020_Author xmlns="de2d85a7-12de-4554-87be-39fa92a90001">
      <UserInfo>
        <DisplayName>Coyle, Joan</DisplayName>
        <AccountId>1074</AccountId>
        <AccountType/>
      </UserInfo>
    </Document_x0020_Author>
    <DocVersion xmlns="de2d85a7-12de-4554-87be-39fa92a90001" xsi:nil="true"/>
    <Approver xmlns="de2d85a7-12de-4554-87be-39fa92a90001">
      <UserInfo>
        <DisplayName>Coyle, Joan</DisplayName>
        <AccountId>1074</AccountId>
        <AccountType/>
      </UserInfo>
    </Approver>
    <Review_x0020_Date xmlns="de2d85a7-12de-4554-87be-39fa92a90001">2018-06-29T22:00:00+00:00</Review_x0020_Date>
    <a34b654bcbef4493987a75a48b21d05e xmlns="de2d85a7-12de-4554-87be-39fa92a90001">
      <Terms xmlns="http://schemas.microsoft.com/office/infopath/2007/PartnerControls"/>
    </a34b654bcbef4493987a75a48b21d05e>
    <SCITaxLanguageTaxHTField0 xmlns="de2d85a7-12de-4554-87be-39fa92a900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91389d26-4679-4d0d-90b2-ea2b2f1e00ba</TermId>
        </TermInfo>
      </Terms>
    </SCITaxLanguageTaxHTField0>
    <SCIDescription xmlns="de2d85a7-12de-4554-87be-39fa92a90001" xsi:nil="true"/>
    <QFOwnerPosition xmlns="de2d85a7-12de-4554-87be-39fa92a90001" xsi:nil="true"/>
    <QFApproverPosition xmlns="de2d85a7-12de-4554-87be-39fa92a90001" xsi:nil="true"/>
    <QFOwner xmlns="de2d85a7-12de-4554-87be-39fa92a90001">
      <UserInfo>
        <DisplayName/>
        <AccountId xsi:nil="true"/>
        <AccountType/>
      </UserInfo>
    </QF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4FAB2-E507-4C46-AB41-DFDA2DCF5635}"/>
</file>

<file path=customXml/itemProps2.xml><?xml version="1.0" encoding="utf-8"?>
<ds:datastoreItem xmlns:ds="http://schemas.openxmlformats.org/officeDocument/2006/customXml" ds:itemID="{57458933-E141-4105-908D-E4A04FC2454A}"/>
</file>

<file path=customXml/itemProps3.xml><?xml version="1.0" encoding="utf-8"?>
<ds:datastoreItem xmlns:ds="http://schemas.openxmlformats.org/officeDocument/2006/customXml" ds:itemID="{7669143D-74F2-4F79-880F-711EF53C2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Disciplinary Policy - Spanish</vt:lpstr>
      <vt:lpstr/>
    </vt:vector>
  </TitlesOfParts>
  <Company>SCI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Policy - Spanish</dc:title>
  <dc:creator>Ippoma, Dawn</dc:creator>
  <cp:lastModifiedBy>Merino-Thomas, Angela</cp:lastModifiedBy>
  <cp:revision>3</cp:revision>
  <cp:lastPrinted>2014-01-14T09:58:00Z</cp:lastPrinted>
  <dcterms:created xsi:type="dcterms:W3CDTF">2015-07-29T16:41:00Z</dcterms:created>
  <dcterms:modified xsi:type="dcterms:W3CDTF">2016-09-09T09:58:00Z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0x010100761A9592D5FDD24D89BADDEDD18BEEAE0500273E8418C255324AB0BF0CDC557C6F14</vt:lpwstr>
  </property>
  <property fmtid="{D5CDD505-2E9C-101B-9397-08002B2CF9AE}" pid="3" name="SCITaxSource">
    <vt:lpwstr/>
  </property>
  <property fmtid="{D5CDD505-2E9C-101B-9397-08002B2CF9AE}" pid="4" name="Quality_x0020_Framework_x0020_Topic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PrimaryTheme">
    <vt:lpwstr/>
  </property>
  <property fmtid="{D5CDD505-2E9C-101B-9397-08002B2CF9AE}" pid="8" name="SCITaxAssociatedDepartments">
    <vt:lpwstr/>
  </property>
  <property fmtid="{D5CDD505-2E9C-101B-9397-08002B2CF9AE}" pid="9" name="SCITaxPartners">
    <vt:lpwstr/>
  </property>
  <property fmtid="{D5CDD505-2E9C-101B-9397-08002B2CF9AE}" pid="10" name="SCITaxPrimaryLocation">
    <vt:lpwstr/>
  </property>
  <property fmtid="{D5CDD505-2E9C-101B-9397-08002B2CF9AE}" pid="11" name="e78712f5e7054e37aff6f03b48cbad39">
    <vt:lpwstr/>
  </property>
  <property fmtid="{D5CDD505-2E9C-101B-9397-08002B2CF9AE}" pid="12" name="SCITaxAssociatedLocations">
    <vt:lpwstr/>
  </property>
  <property fmtid="{D5CDD505-2E9C-101B-9397-08002B2CF9AE}" pid="13" name="SCITaxLanguage">
    <vt:lpwstr>53;#Spanish|91389d26-4679-4d0d-90b2-ea2b2f1e00ba</vt:lpwstr>
  </property>
  <property fmtid="{D5CDD505-2E9C-101B-9397-08002B2CF9AE}" pid="14" name="Quality Framework Category">
    <vt:lpwstr>1989;#People ＆ Organisation|5647b4f5-6444-4650-bcb9-c95cf39d9d7b</vt:lpwstr>
  </property>
  <property fmtid="{D5CDD505-2E9C-101B-9397-08002B2CF9AE}" pid="15" name="SCITaxPrimaryDepartment">
    <vt:lpwstr/>
  </property>
  <property fmtid="{D5CDD505-2E9C-101B-9397-08002B2CF9AE}" pid="16" name="SCITaxKeywords">
    <vt:lpwstr/>
  </property>
  <property fmtid="{D5CDD505-2E9C-101B-9397-08002B2CF9AE}" pid="17" name="Order">
    <vt:r8>100</vt:r8>
  </property>
  <property fmtid="{D5CDD505-2E9C-101B-9397-08002B2CF9AE}" pid="18" name="Send Email notification Awaiting Approval">
    <vt:lpwstr>https://onenet.savethechildren.net/tools/QualityFramework/_layouts/15/wrkstat.aspx?List=e3643bcd-6a54-41a4-924b-c17786d02249&amp;WorkflowInstanceName=ae75e189-fe1b-4821-a606-ffb57c6e46cb, Stage 1</vt:lpwstr>
  </property>
  <property fmtid="{D5CDD505-2E9C-101B-9397-08002B2CF9AE}" pid="19" name="QF Document Lifecycle">
    <vt:lpwstr>https://onenet.savethechildren.net/tools/QualityFramework/_layouts/15/wrkstat.aspx?List=1fcab7e9-470d-483c-acbe-bb9d307c4c62&amp;WorkflowInstanceName=4e5ea04a-4458-4398-8897-bbfb868009b2, Stage 1</vt:lpwstr>
  </property>
  <property fmtid="{D5CDD505-2E9C-101B-9397-08002B2CF9AE}" pid="20" name="QFFilename">
    <vt:lpwstr>SCI_HRM_POL_Disciplinary_ES</vt:lpwstr>
  </property>
  <property fmtid="{D5CDD505-2E9C-101B-9397-08002B2CF9AE}" pid="21" name="WorkflowChangePath">
    <vt:lpwstr>163e0a1c-7044-40d7-8180-6c6b43aab244,7;163e0a1c-7044-40d7-8180-6c6b43aab244,7;163e0a1c-7044-40d7-8180-6c6b43aab244,7;163e0a1c-7044-40d7-8180-6c6b43aab244,7;75a28848-ad9e-48d5-aa85-98a9b40a1b09,20;75a28848-ad9e-48d5-aa85-98a9b40a1b09,20;75a28848-ad9e-48d5-</vt:lpwstr>
  </property>
  <property fmtid="{D5CDD505-2E9C-101B-9397-08002B2CF9AE}" pid="22" name="DocType">
    <vt:lpwstr>Policy</vt:lpwstr>
  </property>
  <property fmtid="{D5CDD505-2E9C-101B-9397-08002B2CF9AE}" pid="23" name="RunWorkflow">
    <vt:lpwstr>Yes</vt:lpwstr>
  </property>
  <property fmtid="{D5CDD505-2E9C-101B-9397-08002B2CF9AE}" pid="24" name="nc19a1a4b3d74222b3596c5699c8580f">
    <vt:lpwstr/>
  </property>
  <property fmtid="{D5CDD505-2E9C-101B-9397-08002B2CF9AE}" pid="25" name="QFToolType">
    <vt:lpwstr/>
  </property>
  <property fmtid="{D5CDD505-2E9C-101B-9397-08002B2CF9AE}" pid="26" name="QFFunction">
    <vt:lpwstr/>
  </property>
  <property fmtid="{D5CDD505-2E9C-101B-9397-08002B2CF9AE}" pid="27" name="SCITaxSourceTaxHTField0">
    <vt:lpwstr/>
  </property>
  <property fmtid="{D5CDD505-2E9C-101B-9397-08002B2CF9AE}" pid="28" name="p16b55d2683148a2821e61818a73e34e">
    <vt:lpwstr/>
  </property>
  <property fmtid="{D5CDD505-2E9C-101B-9397-08002B2CF9AE}" pid="29" name="ga7c308837c2439faee00269c6f30855">
    <vt:lpwstr/>
  </property>
  <property fmtid="{D5CDD505-2E9C-101B-9397-08002B2CF9AE}" pid="30" name="QFDocumentType">
    <vt:lpwstr/>
  </property>
  <property fmtid="{D5CDD505-2E9C-101B-9397-08002B2CF9AE}" pid="31" name="Function">
    <vt:lpwstr/>
  </property>
  <property fmtid="{D5CDD505-2E9C-101B-9397-08002B2CF9AE}" pid="32" name="SCITaxPartnersTaxHTField0">
    <vt:lpwstr/>
  </property>
  <property fmtid="{D5CDD505-2E9C-101B-9397-08002B2CF9AE}" pid="33" name="SCITaxPrimaryDepartmentTaxHTField0">
    <vt:lpwstr/>
  </property>
  <property fmtid="{D5CDD505-2E9C-101B-9397-08002B2CF9AE}" pid="34" name="SCITaxAssociatedLocationsTaxHTField0">
    <vt:lpwstr/>
  </property>
  <property fmtid="{D5CDD505-2E9C-101B-9397-08002B2CF9AE}" pid="35" name="SCITaxPrimaryLocationTaxHTField0">
    <vt:lpwstr/>
  </property>
  <property fmtid="{D5CDD505-2E9C-101B-9397-08002B2CF9AE}" pid="36" name="SCITaxAssociatedDepartmentsTaxHTField0">
    <vt:lpwstr/>
  </property>
  <property fmtid="{D5CDD505-2E9C-101B-9397-08002B2CF9AE}" pid="37" name="SCITaxAssociatedThemesTaxHTField0">
    <vt:lpwstr/>
  </property>
  <property fmtid="{D5CDD505-2E9C-101B-9397-08002B2CF9AE}" pid="38" name="_vti_RoutingExistingProperties">
    <vt:lpwstr>&lt;RecordsRepositorySubmission&gt;&lt;Properties&gt;&lt;Property&gt;&lt;Name&gt;ContentTypeId&lt;/Name&gt;&lt;Value&gt;0x010100F4ABE42D36554BC4A3ED59683975979A00C7A2A620D3B08C4F8D2C1F3D28ABE0EF00C9D9DB6B6692CC4190997EFE8D21752A&lt;/Value&gt;&lt;Type&gt;ContentTypeId&lt;/Type&gt;&lt;/Property&gt;&lt;Property&gt;&lt;Name&gt;_M</vt:lpwstr>
  </property>
  <property fmtid="{D5CDD505-2E9C-101B-9397-08002B2CF9AE}" pid="39" name="Quality Framework Topic">
    <vt:lpwstr/>
  </property>
  <property fmtid="{D5CDD505-2E9C-101B-9397-08002B2CF9AE}" pid="40" name="SCIForPublicDistribution">
    <vt:bool>true</vt:bool>
  </property>
  <property fmtid="{D5CDD505-2E9C-101B-9397-08002B2CF9AE}" pid="41" name="QFCategories">
    <vt:lpwstr>HR Management</vt:lpwstr>
  </property>
  <property fmtid="{D5CDD505-2E9C-101B-9397-08002B2CF9AE}" pid="42" name="SCITaxPrimaryThemeTaxHTField0">
    <vt:lpwstr/>
  </property>
  <property fmtid="{D5CDD505-2E9C-101B-9397-08002B2CF9AE}" pid="43" name="SCITaxDocumentCategoryTaxHTField0">
    <vt:lpwstr/>
  </property>
  <property fmtid="{D5CDD505-2E9C-101B-9397-08002B2CF9AE}" pid="44" name="QFSubmitter">
    <vt:lpwstr/>
  </property>
  <property fmtid="{D5CDD505-2E9C-101B-9397-08002B2CF9AE}" pid="45" name="QFStatus">
    <vt:lpwstr>Approved</vt:lpwstr>
  </property>
</Properties>
</file>